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eastAsia="Calibri" w:cs="Arial"/>
          <w:b/>
          <w:b/>
          <w:color w:val="000000"/>
          <w:sz w:val="16"/>
          <w:szCs w:val="16"/>
        </w:rPr>
      </w:pPr>
      <w:r>
        <w:rPr>
          <w:rFonts w:eastAsia="Calibri" w:cs="Arial" w:ascii="Arial" w:hAnsi="Arial"/>
          <w:b/>
          <w:sz w:val="16"/>
          <w:szCs w:val="16"/>
        </w:rPr>
        <w:t xml:space="preserve">ΕΛΛΗΝΙΚΗ ΔΗΜΟΚΡΑΤΙΑ                                                                         ΑΙΓΙΝΑ   </w:t>
      </w:r>
      <w:r>
        <w:rPr>
          <w:rFonts w:eastAsia="Calibri" w:cs="Arial" w:ascii="Arial" w:hAnsi="Arial"/>
          <w:color w:val="000000"/>
          <w:sz w:val="16"/>
          <w:szCs w:val="16"/>
        </w:rPr>
        <w:t>04/07/2023</w:t>
      </w:r>
    </w:p>
    <w:p>
      <w:pPr>
        <w:pStyle w:val="Normal"/>
        <w:jc w:val="both"/>
        <w:rPr>
          <w:rFonts w:ascii="Arial" w:hAnsi="Arial" w:eastAsia="Calibri" w:cs="Arial"/>
          <w:color w:val="000000"/>
          <w:sz w:val="16"/>
          <w:szCs w:val="16"/>
        </w:rPr>
      </w:pPr>
      <w:r>
        <w:rPr>
          <w:rFonts w:eastAsia="Calibri" w:cs="Arial" w:ascii="Arial" w:hAnsi="Arial"/>
          <w:b/>
          <w:color w:val="000000"/>
          <w:sz w:val="16"/>
          <w:szCs w:val="16"/>
        </w:rPr>
        <w:t xml:space="preserve">ΝΟΜΟΣ ΑΤΤΙΚΗΣ                                             </w:t>
      </w:r>
    </w:p>
    <w:p>
      <w:pPr>
        <w:pStyle w:val="Normal"/>
        <w:tabs>
          <w:tab w:val="clear" w:pos="720"/>
          <w:tab w:val="center" w:pos="4153" w:leader="none"/>
          <w:tab w:val="right" w:pos="8306" w:leader="none"/>
        </w:tabs>
        <w:spacing w:lineRule="auto" w:line="240" w:before="0" w:after="0"/>
        <w:jc w:val="both"/>
        <w:rPr>
          <w:rFonts w:ascii="Arial" w:hAnsi="Arial" w:eastAsia="Times New Roman" w:cs="Arial"/>
          <w:b/>
          <w:b/>
          <w:color w:val="000000"/>
          <w:sz w:val="16"/>
          <w:szCs w:val="16"/>
          <w:lang w:eastAsia="el-GR"/>
        </w:rPr>
      </w:pPr>
      <w:r>
        <w:rPr>
          <w:rFonts w:eastAsia="Times New Roman" w:cs="Arial" w:ascii="Arial" w:hAnsi="Arial"/>
          <w:b/>
          <w:color w:val="000000"/>
          <w:sz w:val="16"/>
          <w:szCs w:val="16"/>
          <w:lang w:eastAsia="el-GR"/>
        </w:rPr>
        <w:t>ΔΗΜΟΤΙΚΟΣ ΑΘΛΗΤΙΚΟΣ ΟΡΓΑΝΙΣΜΟΣ ΑΙΓΙΝΑΣ</w:t>
      </w:r>
    </w:p>
    <w:p>
      <w:pPr>
        <w:pStyle w:val="Normal"/>
        <w:spacing w:lineRule="auto" w:line="36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p>
      <w:pPr>
        <w:pStyle w:val="Normal"/>
        <w:spacing w:lineRule="auto" w:line="24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u w:val="single"/>
          <w:lang w:eastAsia="el-GR"/>
        </w:rPr>
        <w:t>Θέμα</w:t>
      </w:r>
      <w:r>
        <w:rPr>
          <w:rFonts w:eastAsia="Times New Roman" w:cs="Arial" w:ascii="Arial" w:hAnsi="Arial"/>
          <w:b/>
          <w:bCs/>
          <w:sz w:val="16"/>
          <w:szCs w:val="16"/>
          <w:lang w:eastAsia="el-GR"/>
        </w:rPr>
        <w:t xml:space="preserve">:    ΕΓΚΡΙΣΗ ΠΡΟΫΠΟΛΟΓΙΣΜΟΥ ΔΗΜΟΤΙΚΟΥ ΑΘΛΗΤΙΚΟΥ ΟΡΓΑΝΙΣΜΟΥ ΑΙΓΙΝΑΣ ΕΤΟΥΣ 2023.                </w:t>
      </w:r>
    </w:p>
    <w:p>
      <w:pPr>
        <w:pStyle w:val="Normal"/>
        <w:spacing w:lineRule="auto" w:line="24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p>
      <w:pPr>
        <w:pStyle w:val="Normal"/>
        <w:spacing w:lineRule="auto" w:line="24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u w:val="single"/>
          <w:lang w:eastAsia="el-GR"/>
        </w:rPr>
        <w:t>Προς</w:t>
      </w:r>
      <w:r>
        <w:rPr>
          <w:rFonts w:eastAsia="Times New Roman" w:cs="Arial" w:ascii="Arial" w:hAnsi="Arial"/>
          <w:b/>
          <w:bCs/>
          <w:sz w:val="16"/>
          <w:szCs w:val="16"/>
          <w:lang w:eastAsia="el-GR"/>
        </w:rPr>
        <w:t>: Πρόεδρο Διοικητικού Συμβουλίου κ. Γκαρή Μάριο.</w:t>
      </w:r>
    </w:p>
    <w:p>
      <w:pPr>
        <w:pStyle w:val="Normal"/>
        <w:spacing w:lineRule="auto" w:line="24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u w:val="single"/>
          <w:lang w:eastAsia="el-GR"/>
        </w:rPr>
        <w:t>Κοιν</w:t>
      </w:r>
      <w:r>
        <w:rPr>
          <w:rFonts w:eastAsia="Times New Roman" w:cs="Arial" w:ascii="Arial" w:hAnsi="Arial"/>
          <w:b/>
          <w:bCs/>
          <w:sz w:val="16"/>
          <w:szCs w:val="16"/>
          <w:lang w:eastAsia="el-GR"/>
        </w:rPr>
        <w:t>: Πρόεδρο Οικονομικής Επιτροπής κ. Ζορμπά Ιωάννη.</w:t>
      </w:r>
    </w:p>
    <w:p>
      <w:pPr>
        <w:pStyle w:val="Normal"/>
        <w:spacing w:lineRule="auto" w:line="36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p>
      <w:pPr>
        <w:pStyle w:val="Normal"/>
        <w:spacing w:lineRule="auto" w:line="240" w:beforeAutospacing="1" w:afterAutospacing="1"/>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p>
      <w:pPr>
        <w:pStyle w:val="Normal"/>
        <w:spacing w:lineRule="auto" w:line="360" w:beforeAutospacing="1" w:afterAutospacing="1"/>
        <w:jc w:val="both"/>
        <w:rPr>
          <w:rFonts w:ascii="Arial" w:hAnsi="Arial" w:eastAsia="Times New Roman" w:cs="Arial"/>
          <w:bCs/>
          <w:sz w:val="16"/>
          <w:szCs w:val="16"/>
          <w:u w:val="single"/>
          <w:lang w:eastAsia="el-GR"/>
        </w:rPr>
      </w:pPr>
      <w:r>
        <w:rPr>
          <w:rFonts w:eastAsia="Times New Roman" w:cs="Arial" w:ascii="Arial" w:hAnsi="Arial"/>
          <w:bCs/>
          <w:sz w:val="16"/>
          <w:szCs w:val="16"/>
          <w:u w:val="single"/>
          <w:lang w:eastAsia="el-GR"/>
        </w:rPr>
        <w:t>Κυρία Πρόεδρε, λαμβάνοντας υπόψη</w:t>
      </w:r>
    </w:p>
    <w:p>
      <w:pPr>
        <w:pStyle w:val="Normal"/>
        <w:numPr>
          <w:ilvl w:val="0"/>
          <w:numId w:val="3"/>
        </w:numPr>
        <w:spacing w:lineRule="auto" w:line="360" w:beforeAutospacing="1" w:after="0"/>
        <w:contextualSpacing/>
        <w:jc w:val="both"/>
        <w:rPr>
          <w:rFonts w:ascii="Arial" w:hAnsi="Arial" w:eastAsia="Times New Roman" w:cs="Arial"/>
          <w:bCs/>
          <w:sz w:val="16"/>
          <w:szCs w:val="16"/>
          <w:lang w:eastAsia="el-GR"/>
        </w:rPr>
      </w:pPr>
      <w:r>
        <w:rPr>
          <w:rFonts w:eastAsia="Times New Roman" w:cs="Arial" w:ascii="Arial" w:hAnsi="Arial"/>
          <w:bCs/>
          <w:sz w:val="16"/>
          <w:szCs w:val="16"/>
          <w:lang w:eastAsia="el-GR"/>
        </w:rPr>
        <w:t xml:space="preserve">την υπ’ αριθμό πρωτ: οικ.49039/25.07.2022 απόφαση του Υπουργείου Εσωτερικών με θέμα «Παροχή Οδηγιών για την κατάρτιση του Προϋπολογισμού των δήμων Οικονομικού έτους 2023 – Μερική τροποποίηση της υπ’ αριθμ.7028/2004 (Β’ 253) απόφασης. </w:t>
      </w:r>
    </w:p>
    <w:p>
      <w:pPr>
        <w:pStyle w:val="Normal"/>
        <w:numPr>
          <w:ilvl w:val="0"/>
          <w:numId w:val="3"/>
        </w:numPr>
        <w:spacing w:lineRule="auto" w:line="360" w:before="0" w:afterAutospacing="1"/>
        <w:contextualSpacing/>
        <w:jc w:val="both"/>
        <w:rPr>
          <w:rFonts w:ascii="Arial" w:hAnsi="Arial" w:eastAsia="Times New Roman" w:cs="Arial"/>
          <w:bCs/>
          <w:sz w:val="16"/>
          <w:szCs w:val="16"/>
          <w:lang w:eastAsia="el-GR"/>
        </w:rPr>
      </w:pPr>
      <w:r>
        <w:rPr>
          <w:rFonts w:eastAsia="Times New Roman" w:cs="Arial" w:ascii="Arial" w:hAnsi="Arial"/>
          <w:bCs/>
          <w:sz w:val="16"/>
          <w:szCs w:val="16"/>
          <w:lang w:eastAsia="el-GR"/>
        </w:rPr>
        <w:t>Την απόφαση του Διοικητικού Συμβουλίου για έγκριση του Σχεδίου του Προϋπολογισμού έτους 2023.</w:t>
      </w:r>
    </w:p>
    <w:p>
      <w:pPr>
        <w:pStyle w:val="Normal"/>
        <w:spacing w:lineRule="auto" w:line="360" w:beforeAutospacing="1" w:afterAutospacing="1"/>
        <w:ind w:left="720" w:hanging="0"/>
        <w:jc w:val="both"/>
        <w:rPr>
          <w:rFonts w:ascii="Arial" w:hAnsi="Arial" w:eastAsia="Times New Roman" w:cs="Arial"/>
          <w:bCs/>
          <w:sz w:val="16"/>
          <w:szCs w:val="16"/>
          <w:lang w:eastAsia="el-GR"/>
        </w:rPr>
      </w:pPr>
      <w:r>
        <w:rPr>
          <w:rFonts w:eastAsia="Times New Roman" w:cs="Arial" w:ascii="Arial" w:hAnsi="Arial"/>
          <w:bCs/>
          <w:sz w:val="16"/>
          <w:szCs w:val="16"/>
          <w:lang w:eastAsia="el-GR"/>
        </w:rPr>
      </w:r>
    </w:p>
    <w:p>
      <w:pPr>
        <w:pStyle w:val="Normal"/>
        <w:spacing w:lineRule="auto" w:line="360" w:beforeAutospacing="1" w:afterAutospacing="1"/>
        <w:jc w:val="both"/>
        <w:rPr>
          <w:rFonts w:ascii="Arial" w:hAnsi="Arial" w:eastAsia="Times New Roman" w:cs="Arial"/>
          <w:bCs/>
          <w:sz w:val="16"/>
          <w:szCs w:val="16"/>
          <w:lang w:eastAsia="el-GR"/>
        </w:rPr>
      </w:pPr>
      <w:r>
        <w:rPr>
          <w:rFonts w:eastAsia="Times New Roman" w:cs="Arial" w:ascii="Arial" w:hAnsi="Arial"/>
          <w:bCs/>
          <w:sz w:val="16"/>
          <w:szCs w:val="16"/>
          <w:lang w:eastAsia="el-GR"/>
        </w:rPr>
        <w:t>Σας υποβάλλουμε το σχέδιο του προϋπολογισμού για το έτος 2023 και σας γνωρίζουμε ότι:</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 προϋπολογισμός διαιρείται σε δύο μέρη, εκ των οποίων το Μέρος I περιλαμβάνει τα έσοδα και το Μέρος II τις δαπάνες, συμπεριλαμβανομένου του αποθεματικού.</w:t>
      </w:r>
      <w:r>
        <w:br w:type="page"/>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ΜΕΡΟΣ </w:t>
      </w:r>
      <w:r>
        <w:rPr>
          <w:rFonts w:eastAsia="Times New Roman" w:cs="Arial" w:ascii="Arial" w:hAnsi="Arial"/>
          <w:b/>
          <w:sz w:val="16"/>
          <w:szCs w:val="16"/>
          <w:lang w:val="en-US" w:eastAsia="el-GR"/>
        </w:rPr>
        <w:t>I</w:t>
      </w:r>
      <w:r>
        <w:rPr>
          <w:rFonts w:eastAsia="Times New Roman" w:cs="Arial" w:ascii="Arial" w:hAnsi="Arial"/>
          <w:b/>
          <w:sz w:val="16"/>
          <w:szCs w:val="16"/>
          <w:lang w:eastAsia="el-GR"/>
        </w:rPr>
        <w:t>: ΕΣΟΔΑ</w:t>
      </w:r>
    </w:p>
    <w:tbl>
      <w:tblPr>
        <w:tblW w:w="10166" w:type="dxa"/>
        <w:jc w:val="left"/>
        <w:tblInd w:w="-454" w:type="dxa"/>
        <w:tblCellMar>
          <w:top w:w="0" w:type="dxa"/>
          <w:left w:w="108" w:type="dxa"/>
          <w:bottom w:w="0" w:type="dxa"/>
          <w:right w:w="108" w:type="dxa"/>
        </w:tblCellMar>
        <w:tblLook w:val="04a0"/>
      </w:tblPr>
      <w:tblGrid>
        <w:gridCol w:w="511"/>
        <w:gridCol w:w="766"/>
        <w:gridCol w:w="1637"/>
        <w:gridCol w:w="1371"/>
        <w:gridCol w:w="1559"/>
        <w:gridCol w:w="1264"/>
        <w:gridCol w:w="1461"/>
        <w:gridCol w:w="1595"/>
      </w:tblGrid>
      <w:tr>
        <w:trPr>
          <w:trHeight w:val="306" w:hRule="atLeast"/>
        </w:trPr>
        <w:tc>
          <w:tcPr>
            <w:tcW w:w="511" w:type="dxa"/>
            <w:tcBorders>
              <w:top w:val="single" w:sz="4" w:space="0" w:color="000000"/>
              <w:lef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766" w:type="dxa"/>
            <w:tcBorders>
              <w:top w:val="single" w:sz="4" w:space="0" w:color="000000"/>
              <w:lef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456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val="en-US" w:eastAsia="el-GR"/>
              </w:rPr>
            </w:pPr>
            <w:r>
              <w:rPr>
                <w:rFonts w:eastAsia="Times New Roman" w:cs="Arial" w:ascii="Arial" w:hAnsi="Arial"/>
                <w:b/>
                <w:bCs/>
                <w:sz w:val="16"/>
                <w:szCs w:val="16"/>
                <w:lang w:eastAsia="el-GR"/>
              </w:rPr>
              <w:t>ΠΡΟΗΓΟΥΜΕΝΟ  ΟΙΚ.ΕΤΟΣ  2022</w:t>
            </w:r>
          </w:p>
        </w:tc>
        <w:tc>
          <w:tcPr>
            <w:tcW w:w="2725" w:type="dxa"/>
            <w:gridSpan w:val="2"/>
            <w:tcBorders>
              <w:top w:val="single" w:sz="4" w:space="0" w:color="000000"/>
              <w:bottom w:val="single" w:sz="4" w:space="0" w:color="000000"/>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 xml:space="preserve">ΟΙΚ.ΕΤΟΣ </w:t>
            </w:r>
            <w:r>
              <w:rPr>
                <w:rFonts w:eastAsia="Times New Roman" w:cs="Arial" w:ascii="Arial" w:hAnsi="Arial"/>
                <w:b/>
                <w:bCs/>
                <w:i/>
                <w:iCs/>
                <w:sz w:val="16"/>
                <w:szCs w:val="16"/>
                <w:lang w:eastAsia="el-GR"/>
              </w:rPr>
              <w:t>2023</w:t>
            </w:r>
          </w:p>
        </w:tc>
        <w:tc>
          <w:tcPr>
            <w:tcW w:w="159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ΑΥΞΟΜΕΙΩΣΕΙΣ ΒΑΣΕΙ ΑΝΑΜΟΡΦΩΣΕΩΝ</w:t>
            </w:r>
          </w:p>
        </w:tc>
      </w:tr>
      <w:tr>
        <w:trPr>
          <w:trHeight w:val="418" w:hRule="atLeast"/>
        </w:trPr>
        <w:tc>
          <w:tcPr>
            <w:tcW w:w="511" w:type="dxa"/>
            <w:tcBorders>
              <w:lef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Κ.Α</w:t>
            </w:r>
          </w:p>
        </w:tc>
        <w:tc>
          <w:tcPr>
            <w:tcW w:w="766" w:type="dxa"/>
            <w:tcBorders>
              <w:lef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i/>
                <w:i/>
                <w:iCs/>
                <w:sz w:val="16"/>
                <w:szCs w:val="16"/>
                <w:lang w:eastAsia="el-GR"/>
              </w:rPr>
            </w:pPr>
            <w:r>
              <w:rPr>
                <w:rFonts w:eastAsia="Times New Roman" w:cs="Arial" w:ascii="Arial" w:hAnsi="Arial"/>
                <w:b/>
                <w:bCs/>
                <w:sz w:val="16"/>
                <w:szCs w:val="16"/>
                <w:lang w:eastAsia="el-GR"/>
              </w:rPr>
              <w:t>ΤΙΤΛΟΣ</w:t>
            </w:r>
          </w:p>
        </w:tc>
        <w:tc>
          <w:tcPr>
            <w:tcW w:w="1637" w:type="dxa"/>
            <w:vMerge w:val="restart"/>
            <w:tcBorders>
              <w:left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ΔΙΑΜΟΡΦΩΘΕΝΤΑ</w:t>
            </w:r>
          </w:p>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sz w:val="16"/>
                <w:szCs w:val="16"/>
                <w:lang w:eastAsia="el-GR"/>
              </w:rPr>
              <w:t>ΕΩΣ 3</w:t>
            </w:r>
            <w:r>
              <w:rPr>
                <w:rFonts w:eastAsia="Times New Roman" w:cs="Arial" w:ascii="Arial" w:hAnsi="Arial"/>
                <w:sz w:val="16"/>
                <w:szCs w:val="16"/>
                <w:lang w:val="en-US" w:eastAsia="el-GR"/>
              </w:rPr>
              <w:t>1</w:t>
            </w:r>
            <w:r>
              <w:rPr>
                <w:rFonts w:eastAsia="Times New Roman" w:cs="Arial" w:ascii="Arial" w:hAnsi="Arial"/>
                <w:sz w:val="16"/>
                <w:szCs w:val="16"/>
                <w:lang w:eastAsia="el-GR"/>
              </w:rPr>
              <w:t>/12/2022</w:t>
            </w:r>
          </w:p>
        </w:tc>
        <w:tc>
          <w:tcPr>
            <w:tcW w:w="1371" w:type="dxa"/>
            <w:vMerge w:val="restart"/>
            <w:tcBorders>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ΒΕΒΑΙΩΘΕΝΤΑ</w:t>
            </w:r>
          </w:p>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sz w:val="16"/>
                <w:szCs w:val="16"/>
                <w:lang w:eastAsia="el-GR"/>
              </w:rPr>
              <w:t>ΕΩΣ 3</w:t>
            </w:r>
            <w:r>
              <w:rPr>
                <w:rFonts w:eastAsia="Times New Roman" w:cs="Arial" w:ascii="Arial" w:hAnsi="Arial"/>
                <w:sz w:val="16"/>
                <w:szCs w:val="16"/>
                <w:lang w:val="en-US" w:eastAsia="el-GR"/>
              </w:rPr>
              <w:t>1</w:t>
            </w:r>
            <w:r>
              <w:rPr>
                <w:rFonts w:eastAsia="Times New Roman" w:cs="Arial" w:ascii="Arial" w:hAnsi="Arial"/>
                <w:sz w:val="16"/>
                <w:szCs w:val="16"/>
                <w:lang w:eastAsia="el-GR"/>
              </w:rPr>
              <w:t>/12/2022</w:t>
            </w:r>
          </w:p>
        </w:tc>
        <w:tc>
          <w:tcPr>
            <w:tcW w:w="1559" w:type="dxa"/>
            <w:vMerge w:val="restart"/>
            <w:tcBorders>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ΕΚΤΙΜΗΣΗ ΕΙΣΠΡΑΧΘΕΝΤΩΝ</w:t>
            </w:r>
          </w:p>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sz w:val="16"/>
                <w:szCs w:val="16"/>
                <w:lang w:eastAsia="el-GR"/>
              </w:rPr>
              <w:t>31.12.2022</w:t>
            </w:r>
          </w:p>
        </w:tc>
        <w:tc>
          <w:tcPr>
            <w:tcW w:w="1264" w:type="dxa"/>
            <w:vMerge w:val="restart"/>
            <w:tcBorders>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ΨΗΦΙΣΘΕΝΤΑ ΥΠΟ ΤΟ Δ.Σ.</w:t>
            </w:r>
          </w:p>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2023</w:t>
            </w:r>
          </w:p>
        </w:tc>
        <w:tc>
          <w:tcPr>
            <w:tcW w:w="1461" w:type="dxa"/>
            <w:vMerge w:val="restart"/>
            <w:tcBorders>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i/>
                <w:i/>
                <w:iCs/>
                <w:sz w:val="16"/>
                <w:szCs w:val="16"/>
                <w:lang w:eastAsia="el-GR"/>
              </w:rPr>
            </w:pPr>
            <w:r>
              <w:rPr>
                <w:rFonts w:eastAsia="Times New Roman" w:cs="Arial" w:ascii="Arial" w:hAnsi="Arial"/>
                <w:b/>
                <w:bCs/>
                <w:i/>
                <w:iCs/>
                <w:sz w:val="16"/>
                <w:szCs w:val="16"/>
                <w:lang w:eastAsia="el-GR"/>
              </w:rPr>
              <w:t>ΕΠΙΚΥΡΩΘΕΝΤΑ ΑΠΌ ΠΕΡΙΦΕΡΕΙΑ</w:t>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r>
      <w:tr>
        <w:trPr>
          <w:trHeight w:val="306" w:hRule="atLeast"/>
        </w:trPr>
        <w:tc>
          <w:tcPr>
            <w:tcW w:w="511" w:type="dxa"/>
            <w:tcBorders>
              <w:left w:val="single" w:sz="4" w:space="0" w:color="000000"/>
              <w:bottom w:val="single" w:sz="4" w:space="0" w:color="000000"/>
            </w:tcBorders>
            <w:shd w:color="auto" w:fill="auto" w:val="clear"/>
            <w:vAlign w:val="bottom"/>
          </w:tcPr>
          <w:p>
            <w:pPr>
              <w:pStyle w:val="Normal"/>
              <w:spacing w:lineRule="auto" w:line="240" w:before="0" w:after="0"/>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t> </w:t>
            </w:r>
          </w:p>
        </w:tc>
        <w:tc>
          <w:tcPr>
            <w:tcW w:w="766" w:type="dxa"/>
            <w:tcBorders>
              <w:left w:val="single" w:sz="4" w:space="0" w:color="000000"/>
              <w:bottom w:val="single" w:sz="4" w:space="0" w:color="000000"/>
            </w:tcBorders>
            <w:shd w:color="auto" w:fill="auto" w:val="clear"/>
            <w:vAlign w:val="bottom"/>
          </w:tcPr>
          <w:p>
            <w:pPr>
              <w:pStyle w:val="Normal"/>
              <w:spacing w:lineRule="auto" w:line="240" w:before="0" w:after="0"/>
              <w:jc w:val="both"/>
              <w:rPr>
                <w:rFonts w:ascii="Arial" w:hAnsi="Arial" w:eastAsia="Times New Roman" w:cs="Arial"/>
                <w:b/>
                <w:b/>
                <w:bCs/>
                <w:i/>
                <w:i/>
                <w:iCs/>
                <w:sz w:val="16"/>
                <w:szCs w:val="16"/>
                <w:lang w:eastAsia="el-GR"/>
              </w:rPr>
            </w:pPr>
            <w:r>
              <w:rPr>
                <w:rFonts w:eastAsia="Times New Roman" w:cs="Arial" w:ascii="Arial" w:hAnsi="Arial"/>
                <w:b/>
                <w:bCs/>
                <w:i/>
                <w:iCs/>
                <w:sz w:val="16"/>
                <w:szCs w:val="16"/>
                <w:lang w:eastAsia="el-GR"/>
              </w:rPr>
              <w:t> </w:t>
            </w:r>
          </w:p>
        </w:tc>
        <w:tc>
          <w:tcPr>
            <w:tcW w:w="1637" w:type="dxa"/>
            <w:vMerge w:val="continue"/>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both"/>
              <w:rPr>
                <w:rFonts w:ascii="Arial" w:hAnsi="Arial" w:eastAsia="Times New Roman" w:cs="Arial"/>
                <w:sz w:val="16"/>
                <w:szCs w:val="16"/>
                <w:lang w:eastAsia="el-GR"/>
              </w:rPr>
            </w:pPr>
            <w:r>
              <w:rPr>
                <w:rFonts w:eastAsia="Times New Roman" w:cs="Arial" w:ascii="Arial" w:hAnsi="Arial"/>
                <w:sz w:val="16"/>
                <w:szCs w:val="16"/>
                <w:lang w:eastAsia="el-GR"/>
              </w:rPr>
            </w:r>
          </w:p>
        </w:tc>
        <w:tc>
          <w:tcPr>
            <w:tcW w:w="1371" w:type="dxa"/>
            <w:vMerge w:val="continue"/>
            <w:tcBorders>
              <w:bottom w:val="single" w:sz="4" w:space="0" w:color="000000"/>
              <w:right w:val="single" w:sz="4" w:space="0" w:color="000000"/>
            </w:tcBorders>
            <w:shd w:color="auto" w:fill="auto" w:val="clear"/>
            <w:vAlign w:val="bottom"/>
          </w:tcPr>
          <w:p>
            <w:pPr>
              <w:pStyle w:val="Normal"/>
              <w:spacing w:lineRule="auto" w:line="240" w:before="0" w:after="0"/>
              <w:jc w:val="both"/>
              <w:rPr>
                <w:rFonts w:ascii="Arial" w:hAnsi="Arial" w:eastAsia="Times New Roman" w:cs="Arial"/>
                <w:sz w:val="16"/>
                <w:szCs w:val="16"/>
                <w:lang w:eastAsia="el-GR"/>
              </w:rPr>
            </w:pPr>
            <w:r>
              <w:rPr>
                <w:rFonts w:eastAsia="Times New Roman" w:cs="Arial" w:ascii="Arial" w:hAnsi="Arial"/>
                <w:sz w:val="16"/>
                <w:szCs w:val="16"/>
                <w:lang w:eastAsia="el-GR"/>
              </w:rPr>
            </w:r>
          </w:p>
        </w:tc>
        <w:tc>
          <w:tcPr>
            <w:tcW w:w="1559" w:type="dxa"/>
            <w:vMerge w:val="continue"/>
            <w:tcBorders>
              <w:bottom w:val="single" w:sz="4" w:space="0" w:color="000000"/>
              <w:right w:val="single" w:sz="4" w:space="0" w:color="000000"/>
            </w:tcBorders>
            <w:shd w:color="auto" w:fill="auto" w:val="clear"/>
            <w:vAlign w:val="bottom"/>
          </w:tcPr>
          <w:p>
            <w:pPr>
              <w:pStyle w:val="Normal"/>
              <w:spacing w:lineRule="auto" w:line="240" w:before="0" w:after="0"/>
              <w:jc w:val="both"/>
              <w:rPr>
                <w:rFonts w:ascii="Arial" w:hAnsi="Arial" w:eastAsia="Times New Roman" w:cs="Arial"/>
                <w:sz w:val="16"/>
                <w:szCs w:val="16"/>
                <w:lang w:eastAsia="el-GR"/>
              </w:rPr>
            </w:pPr>
            <w:r>
              <w:rPr>
                <w:rFonts w:eastAsia="Times New Roman" w:cs="Arial" w:ascii="Arial" w:hAnsi="Arial"/>
                <w:sz w:val="16"/>
                <w:szCs w:val="16"/>
                <w:lang w:eastAsia="el-GR"/>
              </w:rPr>
            </w:r>
          </w:p>
        </w:tc>
        <w:tc>
          <w:tcPr>
            <w:tcW w:w="1264" w:type="dxa"/>
            <w:vMerge w:val="continue"/>
            <w:tcBorders>
              <w:bottom w:val="single" w:sz="4" w:space="0" w:color="000000"/>
              <w:right w:val="single" w:sz="4" w:space="0" w:color="000000"/>
            </w:tcBorders>
            <w:shd w:color="auto" w:fill="BFBFBF" w:val="clear"/>
            <w:vAlign w:val="bottom"/>
          </w:tcPr>
          <w:p>
            <w:pPr>
              <w:pStyle w:val="Normal"/>
              <w:spacing w:lineRule="auto" w:line="240" w:before="0" w:after="0"/>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461" w:type="dxa"/>
            <w:vMerge w:val="continue"/>
            <w:tcBorders>
              <w:bottom w:val="single" w:sz="4" w:space="0" w:color="000000"/>
              <w:right w:val="single" w:sz="4" w:space="0" w:color="000000"/>
            </w:tcBorders>
            <w:shd w:color="auto" w:fill="BFBFBF" w:val="clear"/>
            <w:vAlign w:val="bottom"/>
          </w:tcPr>
          <w:p>
            <w:pPr>
              <w:pStyle w:val="Normal"/>
              <w:spacing w:lineRule="auto" w:line="240" w:before="0" w:after="0"/>
              <w:jc w:val="both"/>
              <w:rPr>
                <w:rFonts w:ascii="Arial" w:hAnsi="Arial" w:eastAsia="Times New Roman" w:cs="Arial"/>
                <w:b/>
                <w:b/>
                <w:bCs/>
                <w:i/>
                <w:i/>
                <w:iCs/>
                <w:sz w:val="16"/>
                <w:szCs w:val="16"/>
                <w:lang w:eastAsia="el-GR"/>
              </w:rPr>
            </w:pPr>
            <w:r>
              <w:rPr>
                <w:rFonts w:eastAsia="Times New Roman" w:cs="Arial" w:ascii="Arial" w:hAnsi="Arial"/>
                <w:b/>
                <w:bCs/>
                <w:i/>
                <w:iCs/>
                <w:sz w:val="16"/>
                <w:szCs w:val="16"/>
                <w:lang w:eastAsia="el-GR"/>
              </w:rPr>
            </w:r>
          </w:p>
        </w:tc>
        <w:tc>
          <w:tcPr>
            <w:tcW w:w="15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r>
    </w:tbl>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tbl>
      <w:tblPr>
        <w:tblW w:w="8522" w:type="dxa"/>
        <w:jc w:val="left"/>
        <w:tblInd w:w="0" w:type="dxa"/>
        <w:tblCellMar>
          <w:top w:w="0" w:type="dxa"/>
          <w:left w:w="108" w:type="dxa"/>
          <w:bottom w:w="0" w:type="dxa"/>
          <w:right w:w="108" w:type="dxa"/>
        </w:tblCellMar>
        <w:tblLook w:val="04a0"/>
      </w:tblPr>
      <w:tblGrid>
        <w:gridCol w:w="8522"/>
      </w:tblGrid>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Autospacing="1" w:after="0"/>
              <w:jc w:val="both"/>
              <w:rPr>
                <w:rFonts w:ascii="Arial" w:hAnsi="Arial" w:eastAsia="Times New Roman" w:cs="Arial"/>
                <w:b/>
                <w:b/>
                <w:sz w:val="16"/>
                <w:szCs w:val="16"/>
                <w:lang w:eastAsia="el-GR"/>
              </w:rPr>
            </w:pPr>
            <w:r>
              <w:rPr>
                <w:rFonts w:eastAsia="Times New Roman" w:cs="Arial" w:ascii="Arial" w:hAnsi="Arial"/>
                <w:b/>
                <w:sz w:val="16"/>
                <w:szCs w:val="16"/>
                <w:lang w:eastAsia="el-GR"/>
              </w:rPr>
              <w:t>ΣΥΝΟΛΟ</w:t>
            </w:r>
          </w:p>
        </w:tc>
      </w:tr>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Autospacing="1" w:after="0"/>
              <w:jc w:val="both"/>
              <w:rPr>
                <w:rFonts w:ascii="Arial" w:hAnsi="Arial" w:eastAsia="Times New Roman" w:cs="Arial"/>
                <w:b/>
                <w:b/>
                <w:sz w:val="16"/>
                <w:szCs w:val="16"/>
                <w:lang w:eastAsia="el-GR"/>
              </w:rPr>
            </w:pPr>
            <w:r>
              <w:rPr>
                <w:rFonts w:eastAsia="Times New Roman" w:cs="Arial" w:ascii="Arial" w:hAnsi="Arial"/>
                <w:b/>
                <w:sz w:val="16"/>
                <w:szCs w:val="16"/>
                <w:lang w:eastAsia="el-GR"/>
              </w:rPr>
              <w:t>ΧΡΗΜΑΤΙΚΟ ΥΠΟΛΟΙΠΟ ΠΡΟΗΓΟΥΜΕΝΗΣ ΧΡΗΣΗΣ</w:t>
            </w:r>
          </w:p>
        </w:tc>
      </w:tr>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Autospacing="1" w:after="0"/>
              <w:jc w:val="both"/>
              <w:rPr>
                <w:rFonts w:ascii="Arial" w:hAnsi="Arial" w:eastAsia="Times New Roman" w:cs="Arial"/>
                <w:b/>
                <w:b/>
                <w:sz w:val="16"/>
                <w:szCs w:val="16"/>
                <w:lang w:eastAsia="el-GR"/>
              </w:rPr>
            </w:pPr>
            <w:r>
              <w:rPr>
                <w:rFonts w:eastAsia="Times New Roman" w:cs="Arial" w:ascii="Arial" w:hAnsi="Arial"/>
                <w:b/>
                <w:sz w:val="16"/>
                <w:szCs w:val="16"/>
                <w:lang w:eastAsia="el-GR"/>
              </w:rPr>
              <w:t>ΓΕΝΙΚΟ ΣΥΝΟΛΟ ΜΕΡΟΥΣ Ι</w:t>
            </w:r>
          </w:p>
        </w:tc>
      </w:tr>
    </w:tbl>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ΜΕΡΟΣ I</w:t>
      </w:r>
      <w:r>
        <w:rPr>
          <w:rFonts w:eastAsia="Times New Roman" w:cs="Arial" w:ascii="Arial" w:hAnsi="Arial"/>
          <w:b/>
          <w:sz w:val="16"/>
          <w:szCs w:val="16"/>
          <w:lang w:val="en-US" w:eastAsia="el-GR"/>
        </w:rPr>
        <w:t>I</w:t>
      </w:r>
      <w:r>
        <w:rPr>
          <w:rFonts w:eastAsia="Times New Roman" w:cs="Arial" w:ascii="Arial" w:hAnsi="Arial"/>
          <w:b/>
          <w:sz w:val="16"/>
          <w:szCs w:val="16"/>
          <w:lang w:eastAsia="el-GR"/>
        </w:rPr>
        <w:t>: ΕΞΟΔΑ</w:t>
      </w:r>
    </w:p>
    <w:tbl>
      <w:tblPr>
        <w:tblW w:w="10215" w:type="dxa"/>
        <w:jc w:val="left"/>
        <w:tblInd w:w="-454" w:type="dxa"/>
        <w:tblCellMar>
          <w:top w:w="0" w:type="dxa"/>
          <w:left w:w="108" w:type="dxa"/>
          <w:bottom w:w="0" w:type="dxa"/>
          <w:right w:w="108" w:type="dxa"/>
        </w:tblCellMar>
        <w:tblLook w:val="04a0"/>
      </w:tblPr>
      <w:tblGrid>
        <w:gridCol w:w="526"/>
        <w:gridCol w:w="848"/>
        <w:gridCol w:w="1691"/>
        <w:gridCol w:w="1389"/>
        <w:gridCol w:w="1364"/>
        <w:gridCol w:w="1307"/>
        <w:gridCol w:w="1455"/>
        <w:gridCol w:w="1633"/>
      </w:tblGrid>
      <w:tr>
        <w:trPr>
          <w:trHeight w:val="341" w:hRule="atLeast"/>
        </w:trPr>
        <w:tc>
          <w:tcPr>
            <w:tcW w:w="526" w:type="dxa"/>
            <w:tcBorders>
              <w:top w:val="single" w:sz="4" w:space="0" w:color="000000"/>
              <w:left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848" w:type="dxa"/>
            <w:tcBorders>
              <w:top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4444"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val="en-US" w:eastAsia="el-GR"/>
              </w:rPr>
            </w:pPr>
            <w:r>
              <w:rPr>
                <w:rFonts w:eastAsia="Times New Roman" w:cs="Arial" w:ascii="Arial" w:hAnsi="Arial"/>
                <w:b/>
                <w:bCs/>
                <w:sz w:val="16"/>
                <w:szCs w:val="16"/>
                <w:lang w:eastAsia="el-GR"/>
              </w:rPr>
              <w:t>ΠΡΟΗΓΟΥΜΕΝΟ  ΟΙΚ.ΕΤΟΣ  2022</w:t>
            </w:r>
          </w:p>
        </w:tc>
        <w:tc>
          <w:tcPr>
            <w:tcW w:w="2762" w:type="dxa"/>
            <w:gridSpan w:val="2"/>
            <w:tcBorders>
              <w:top w:val="single" w:sz="4" w:space="0" w:color="000000"/>
              <w:bottom w:val="single" w:sz="4" w:space="0" w:color="000000"/>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ΟΙΚ.ΕΤΟΣ 20</w:t>
            </w:r>
            <w:r>
              <w:rPr>
                <w:rFonts w:eastAsia="Times New Roman" w:cs="Arial" w:ascii="Arial" w:hAnsi="Arial"/>
                <w:b/>
                <w:bCs/>
                <w:sz w:val="16"/>
                <w:szCs w:val="16"/>
                <w:lang w:val="en-US" w:eastAsia="el-GR"/>
              </w:rPr>
              <w:t>2</w:t>
            </w:r>
            <w:r>
              <w:rPr>
                <w:rFonts w:eastAsia="Times New Roman" w:cs="Arial" w:ascii="Arial" w:hAnsi="Arial"/>
                <w:b/>
                <w:bCs/>
                <w:sz w:val="16"/>
                <w:szCs w:val="16"/>
                <w:lang w:eastAsia="el-GR"/>
              </w:rPr>
              <w:t>3</w:t>
            </w:r>
          </w:p>
        </w:tc>
        <w:tc>
          <w:tcPr>
            <w:tcW w:w="1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ΑΥΞΟΜΕΙΩΣΕΙΣ ΒΑΣΕΙ ΑΝΑΜΟΡΦΩΣΕΩΝ</w:t>
            </w:r>
          </w:p>
        </w:tc>
      </w:tr>
      <w:tr>
        <w:trPr>
          <w:trHeight w:val="407" w:hRule="atLeast"/>
        </w:trPr>
        <w:tc>
          <w:tcPr>
            <w:tcW w:w="526" w:type="dxa"/>
            <w:tcBorders>
              <w:left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Κ.Α</w:t>
            </w:r>
          </w:p>
        </w:tc>
        <w:tc>
          <w:tcPr>
            <w:tcW w:w="848" w:type="dxa"/>
            <w:tcBorders>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ΤΙΤΛΟΣ</w:t>
            </w:r>
          </w:p>
        </w:tc>
        <w:tc>
          <w:tcPr>
            <w:tcW w:w="169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 xml:space="preserve">ΔΙΑΜΟΡΦΩΘΕΙΣΕΣ </w:t>
            </w:r>
            <w:r>
              <w:rPr>
                <w:rFonts w:eastAsia="Times New Roman" w:cs="Arial" w:ascii="Arial" w:hAnsi="Arial"/>
                <w:bCs/>
                <w:sz w:val="16"/>
                <w:szCs w:val="16"/>
                <w:lang w:eastAsia="el-GR"/>
              </w:rPr>
              <w:t>ΕΩΣ 3</w:t>
            </w:r>
            <w:r>
              <w:rPr>
                <w:rFonts w:eastAsia="Times New Roman" w:cs="Arial" w:ascii="Arial" w:hAnsi="Arial"/>
                <w:bCs/>
                <w:sz w:val="16"/>
                <w:szCs w:val="16"/>
                <w:lang w:val="en-US" w:eastAsia="el-GR"/>
              </w:rPr>
              <w:t>1</w:t>
            </w:r>
            <w:r>
              <w:rPr>
                <w:rFonts w:eastAsia="Times New Roman" w:cs="Arial" w:ascii="Arial" w:hAnsi="Arial"/>
                <w:bCs/>
                <w:sz w:val="16"/>
                <w:szCs w:val="16"/>
                <w:lang w:eastAsia="el-GR"/>
              </w:rPr>
              <w:t>/12/2022</w:t>
            </w:r>
          </w:p>
        </w:tc>
        <w:tc>
          <w:tcPr>
            <w:tcW w:w="1389" w:type="dxa"/>
            <w:vMerge w:val="restart"/>
            <w:tcBorders>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ΕΝΤΑΛΘΕΙΣΕΣ</w:t>
            </w:r>
          </w:p>
          <w:p>
            <w:pPr>
              <w:pStyle w:val="Normal"/>
              <w:spacing w:lineRule="auto" w:line="240" w:before="0" w:after="0"/>
              <w:jc w:val="center"/>
              <w:rPr>
                <w:rFonts w:ascii="Arial" w:hAnsi="Arial" w:eastAsia="Times New Roman" w:cs="Arial"/>
                <w:bCs/>
                <w:sz w:val="16"/>
                <w:szCs w:val="16"/>
                <w:lang w:eastAsia="el-GR"/>
              </w:rPr>
            </w:pPr>
            <w:r>
              <w:rPr>
                <w:rFonts w:eastAsia="Times New Roman" w:cs="Arial" w:ascii="Arial" w:hAnsi="Arial"/>
                <w:bCs/>
                <w:sz w:val="16"/>
                <w:szCs w:val="16"/>
                <w:lang w:eastAsia="el-GR"/>
              </w:rPr>
              <w:t>ΕΩΣ 3</w:t>
            </w:r>
            <w:r>
              <w:rPr>
                <w:rFonts w:eastAsia="Times New Roman" w:cs="Arial" w:ascii="Arial" w:hAnsi="Arial"/>
                <w:bCs/>
                <w:sz w:val="16"/>
                <w:szCs w:val="16"/>
                <w:lang w:val="en-US" w:eastAsia="el-GR"/>
              </w:rPr>
              <w:t>1</w:t>
            </w:r>
            <w:r>
              <w:rPr>
                <w:rFonts w:eastAsia="Times New Roman" w:cs="Arial" w:ascii="Arial" w:hAnsi="Arial"/>
                <w:bCs/>
                <w:sz w:val="16"/>
                <w:szCs w:val="16"/>
                <w:lang w:eastAsia="el-GR"/>
              </w:rPr>
              <w:t>/12/2022</w:t>
            </w:r>
          </w:p>
        </w:tc>
        <w:tc>
          <w:tcPr>
            <w:tcW w:w="1364"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 xml:space="preserve">ΕΚΤΙΜΗΣΗ ΓΙΑ ΤΙΣ ΠΛΗΡΩΘΕΙΣΕΣ </w:t>
            </w:r>
            <w:r>
              <w:rPr>
                <w:rFonts w:eastAsia="Times New Roman" w:cs="Arial" w:ascii="Arial" w:hAnsi="Arial"/>
                <w:bCs/>
                <w:sz w:val="16"/>
                <w:szCs w:val="16"/>
                <w:lang w:eastAsia="el-GR"/>
              </w:rPr>
              <w:t>31.12.2022</w:t>
            </w:r>
          </w:p>
        </w:tc>
        <w:tc>
          <w:tcPr>
            <w:tcW w:w="1307" w:type="dxa"/>
            <w:vMerge w:val="restart"/>
            <w:tcBorders>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ΨΗΦΙΣΘΕΙΣΕΣ ΥΠΟ ΤΟ Δ.Σ.</w:t>
            </w:r>
          </w:p>
          <w:p>
            <w:pPr>
              <w:pStyle w:val="Normal"/>
              <w:spacing w:lineRule="auto" w:line="240" w:before="0" w:after="0"/>
              <w:jc w:val="center"/>
              <w:rPr>
                <w:rFonts w:ascii="Arial" w:hAnsi="Arial" w:eastAsia="Times New Roman" w:cs="Arial"/>
                <w:b/>
                <w:b/>
                <w:bCs/>
                <w:sz w:val="16"/>
                <w:szCs w:val="16"/>
                <w:lang w:val="en-US" w:eastAsia="el-GR"/>
              </w:rPr>
            </w:pPr>
            <w:r>
              <w:rPr>
                <w:rFonts w:eastAsia="Times New Roman" w:cs="Arial" w:ascii="Arial" w:hAnsi="Arial"/>
                <w:b/>
                <w:bCs/>
                <w:sz w:val="16"/>
                <w:szCs w:val="16"/>
                <w:lang w:eastAsia="el-GR"/>
              </w:rPr>
              <w:t>2023</w:t>
            </w:r>
          </w:p>
        </w:tc>
        <w:tc>
          <w:tcPr>
            <w:tcW w:w="1455" w:type="dxa"/>
            <w:vMerge w:val="restart"/>
            <w:tcBorders>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ΕΓΚΡΙΘΕΙΣΕΣ</w:t>
            </w:r>
          </w:p>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t>ΑΠΟ ΠΕΡΙΦΕΡΕΙΑ</w:t>
            </w:r>
          </w:p>
        </w:tc>
        <w:tc>
          <w:tcPr>
            <w:tcW w:w="16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r>
      <w:tr>
        <w:trPr>
          <w:trHeight w:val="248" w:hRule="atLeast"/>
        </w:trPr>
        <w:tc>
          <w:tcPr>
            <w:tcW w:w="526"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84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691"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89" w:type="dxa"/>
            <w:vMerge w:val="continue"/>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64" w:type="dxa"/>
            <w:vMerge w:val="continue"/>
            <w:tcBorders>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307" w:type="dxa"/>
            <w:vMerge w:val="continue"/>
            <w:tcBorders>
              <w:bottom w:val="single" w:sz="4" w:space="0" w:color="000000"/>
              <w:right w:val="single" w:sz="4" w:space="0" w:color="000000"/>
            </w:tcBorders>
            <w:shd w:color="auto" w:fill="BFBFBF" w:val="clear"/>
            <w:vAlign w:val="center"/>
          </w:tcPr>
          <w:p>
            <w:pPr>
              <w:pStyle w:val="Normal"/>
              <w:spacing w:lineRule="auto" w:line="240" w:before="0" w:after="0"/>
              <w:rPr>
                <w:rFonts w:ascii="Arial" w:hAnsi="Arial" w:eastAsia="Times New Roman" w:cs="Arial"/>
                <w:b/>
                <w:b/>
                <w:bCs/>
                <w:sz w:val="16"/>
                <w:szCs w:val="16"/>
                <w:lang w:val="en-US" w:eastAsia="el-GR"/>
              </w:rPr>
            </w:pPr>
            <w:r>
              <w:rPr>
                <w:rFonts w:eastAsia="Times New Roman" w:cs="Arial" w:ascii="Arial" w:hAnsi="Arial"/>
                <w:b/>
                <w:bCs/>
                <w:sz w:val="16"/>
                <w:szCs w:val="16"/>
                <w:lang w:val="en-US" w:eastAsia="el-GR"/>
              </w:rPr>
            </w:r>
          </w:p>
        </w:tc>
        <w:tc>
          <w:tcPr>
            <w:tcW w:w="1455" w:type="dxa"/>
            <w:vMerge w:val="continue"/>
            <w:tcBorders>
              <w:bottom w:val="single" w:sz="4" w:space="0" w:color="000000"/>
              <w:right w:val="single" w:sz="4" w:space="0" w:color="000000"/>
            </w:tcBorders>
            <w:shd w:color="auto" w:fill="BFBFBF" w:val="clear"/>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c>
          <w:tcPr>
            <w:tcW w:w="16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Arial" w:hAnsi="Arial" w:eastAsia="Times New Roman" w:cs="Arial"/>
                <w:b/>
                <w:b/>
                <w:bCs/>
                <w:sz w:val="16"/>
                <w:szCs w:val="16"/>
                <w:lang w:eastAsia="el-GR"/>
              </w:rPr>
            </w:pPr>
            <w:r>
              <w:rPr>
                <w:rFonts w:eastAsia="Times New Roman" w:cs="Arial" w:ascii="Arial" w:hAnsi="Arial"/>
                <w:b/>
                <w:bCs/>
                <w:sz w:val="16"/>
                <w:szCs w:val="16"/>
                <w:lang w:eastAsia="el-GR"/>
              </w:rPr>
            </w:r>
          </w:p>
        </w:tc>
      </w:tr>
    </w:tbl>
    <w:p>
      <w:pPr>
        <w:pStyle w:val="Normal"/>
        <w:spacing w:lineRule="auto" w:line="360" w:beforeAutospacing="1" w:afterAutospacing="1"/>
        <w:jc w:val="center"/>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ΚΕΦΑΛΑΙΟ Α’: Λειτουργικές δαπάνες χρήσης</w:t>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Οι λειτουργικές δαπάνες κατανέμονται ανά υπηρεσία</w:t>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ΚΕΦΑΛΑΙΟ Β’ :Επενδύσεις</w:t>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ΚΕΦΑΛΑΙΟ Γ’ : Πληρωμές ΠΟΕ, λοιπές αποδόσεις και προβλέψεις .</w:t>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ΚΕΦΑΛΑΙΟ Δ’ : Αποθεματικό</w:t>
      </w:r>
    </w:p>
    <w:p>
      <w:pPr>
        <w:pStyle w:val="Normal"/>
        <w:spacing w:lineRule="auto" w:line="240" w:before="0"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tbl>
      <w:tblPr>
        <w:tblW w:w="8522" w:type="dxa"/>
        <w:jc w:val="center"/>
        <w:tblInd w:w="0" w:type="dxa"/>
        <w:tblCellMar>
          <w:top w:w="0" w:type="dxa"/>
          <w:left w:w="108" w:type="dxa"/>
          <w:bottom w:w="0" w:type="dxa"/>
          <w:right w:w="108" w:type="dxa"/>
        </w:tblCellMar>
        <w:tblLook w:val="04a0"/>
      </w:tblPr>
      <w:tblGrid>
        <w:gridCol w:w="8522"/>
      </w:tblGrid>
      <w:tr>
        <w:trPr/>
        <w:tc>
          <w:tcPr>
            <w:tcW w:w="852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360" w:beforeAutospacing="1" w:after="0"/>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ΓΕΝΙΚΟ ΣΥΝΟΛΟ ΜΕΡΟΥΣ </w:t>
            </w:r>
            <w:r>
              <w:rPr>
                <w:rFonts w:eastAsia="Times New Roman" w:cs="Arial" w:ascii="Arial" w:hAnsi="Arial"/>
                <w:b/>
                <w:sz w:val="16"/>
                <w:szCs w:val="16"/>
                <w:lang w:val="en-US" w:eastAsia="el-GR"/>
              </w:rPr>
              <w:t>II</w:t>
            </w:r>
            <w:r>
              <w:rPr>
                <w:rFonts w:eastAsia="Times New Roman" w:cs="Arial" w:ascii="Arial" w:hAnsi="Arial"/>
                <w:b/>
                <w:sz w:val="16"/>
                <w:szCs w:val="16"/>
                <w:lang w:eastAsia="el-GR"/>
              </w:rPr>
              <w:t xml:space="preserve"> (ΚΕΦΑΛΑΙΩΝ Α+Β+Γ+Δ)</w:t>
            </w:r>
          </w:p>
        </w:tc>
      </w:tr>
    </w:tbl>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r>
        <w:br w:type="page"/>
      </w:r>
    </w:p>
    <w:p>
      <w:pPr>
        <w:pStyle w:val="Normal"/>
        <w:spacing w:lineRule="auto" w:line="360" w:beforeAutospacing="1" w:afterAutospacing="1"/>
        <w:jc w:val="both"/>
        <w:rPr>
          <w:rFonts w:ascii="Arial" w:hAnsi="Arial" w:eastAsia="Times New Roman" w:cs="Arial"/>
          <w:b/>
          <w:b/>
          <w:i/>
          <w:i/>
          <w:sz w:val="16"/>
          <w:szCs w:val="16"/>
          <w:lang w:eastAsia="el-GR"/>
        </w:rPr>
      </w:pPr>
      <w:r>
        <w:rPr>
          <w:rFonts w:eastAsia="Times New Roman" w:cs="Arial" w:ascii="Arial" w:hAnsi="Arial"/>
          <w:b/>
          <w:i/>
          <w:sz w:val="16"/>
          <w:szCs w:val="16"/>
          <w:lang w:eastAsia="el-GR"/>
        </w:rPr>
        <w:t>Διάκριση των εσόδων ΚΑΙ συμπλήρωση των Κ.Α του προϋπολογισμού έτους 2023:</w:t>
      </w:r>
    </w:p>
    <w:p>
      <w:pPr>
        <w:pStyle w:val="Normal"/>
        <w:spacing w:lineRule="auto" w:line="360" w:beforeAutospacing="1" w:afterAutospacing="1"/>
        <w:jc w:val="both"/>
        <w:rPr>
          <w:rFonts w:ascii="Arial" w:hAnsi="Arial" w:eastAsia="Times New Roman" w:cs="Arial"/>
          <w:sz w:val="16"/>
          <w:szCs w:val="16"/>
          <w:u w:val="single"/>
          <w:lang w:eastAsia="el-GR"/>
        </w:rPr>
      </w:pPr>
      <w:r>
        <w:rPr>
          <w:rFonts w:eastAsia="Times New Roman" w:cs="Arial" w:ascii="Arial" w:hAnsi="Arial"/>
          <w:sz w:val="16"/>
          <w:szCs w:val="16"/>
          <w:u w:val="single"/>
          <w:lang w:eastAsia="el-GR"/>
        </w:rPr>
        <w:t>Τα έσοδα του προϋπολογισμού διακρίνονται στις ακόλουθες ομάδες:</w:t>
      </w:r>
    </w:p>
    <w:p>
      <w:pPr>
        <w:pStyle w:val="Normal"/>
        <w:numPr>
          <w:ilvl w:val="0"/>
          <w:numId w:val="1"/>
        </w:numPr>
        <w:spacing w:lineRule="auto" w:line="360" w:beforeAutospacing="1"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Τακτικά έσοδα</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Έκτακτα έσοδα</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Έσοδα παρελθόντων οικονομικών ετών (Π.Ο.Ε) που βεβαιώνονται για πρώτη φορά.</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Εισπράξεις δανείων και απαιτήσεων από Π.Ο.Ε.</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Εισπράξεις υπέρ του Δημοσίου ή τρίτων και επιστροφές χρημάτων</w:t>
      </w:r>
    </w:p>
    <w:p>
      <w:pPr>
        <w:pStyle w:val="Normal"/>
        <w:numPr>
          <w:ilvl w:val="0"/>
          <w:numId w:val="1"/>
        </w:numPr>
        <w:spacing w:lineRule="auto" w:line="360" w:before="0" w:afterAutospacing="1"/>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Χρηματικό υπόλοιπο προηγούμενης χρήσης.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Μέρος Ι - Έσοδα</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Οι εγγραφές στους επιμέρους κωδικούς αριθμούς εσόδων γίνονται ως ακολούθως: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01 ΠΡΟΣΟΔΟΙ ΑΠΟ ΑΚΙΝΗΤΗ ΠΕΡΙΟΥΣΙΑ</w:t>
      </w:r>
    </w:p>
    <w:p>
      <w:pPr>
        <w:pStyle w:val="Normal"/>
        <w:spacing w:lineRule="auto" w:line="360" w:beforeAutospacing="1" w:afterAutospacing="1"/>
        <w:jc w:val="both"/>
        <w:rPr>
          <w:rFonts w:ascii="Arial" w:hAnsi="Arial" w:eastAsia="Times New Roman" w:cs="Arial"/>
          <w:b/>
          <w:b/>
          <w:i/>
          <w:i/>
          <w:sz w:val="16"/>
          <w:szCs w:val="16"/>
          <w:lang w:eastAsia="el-GR"/>
        </w:rPr>
      </w:pPr>
      <w:r>
        <w:rPr>
          <w:rFonts w:eastAsia="Times New Roman" w:cs="Arial" w:ascii="Arial" w:hAnsi="Arial"/>
          <w:b/>
          <w:i/>
          <w:sz w:val="16"/>
          <w:szCs w:val="16"/>
          <w:lang w:eastAsia="el-GR"/>
        </w:rPr>
        <w:t>011 Μισθώματα.</w:t>
      </w:r>
    </w:p>
    <w:p>
      <w:pPr>
        <w:pStyle w:val="Normal"/>
        <w:spacing w:lineRule="auto" w:line="360" w:beforeAutospacing="1" w:afterAutospacing="1"/>
        <w:jc w:val="both"/>
        <w:rPr>
          <w:rFonts w:ascii="Arial" w:hAnsi="Arial" w:eastAsia="Times New Roman" w:cs="Arial"/>
          <w:b/>
          <w:b/>
          <w:i/>
          <w:i/>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5.000,00 €.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Οι τόκοι από τις χρηματικές καταθέσεις σε λογαριασμούς τραπεζών ή πιστωτικών ιδρυμάτων (άρθρο 171 παρ. 2 του ΚΔΚ) εμφανίζονται στον ΚΑ 0211. Δεδομένου ότι το ποσό δεν δύναται να εκτιμηθεί επ’ ακριβώς προϋπολογίζεται το ποσό βάση  της εξέλιξης του έτους 2022.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07 ΛΟΙΠΑ ΤΑΚΤΙΚΑ ΕΣΟΔΑ</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071 Λοιπά τακτικά έσοδα.</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25.000,00€.</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Στους κωδικούς αριθμούς 0711 έως 0719 εγγράφονται τα έσοδα των αντίστοιχων τίτλων.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1 ΕΚΤΑΚΤΑ ΕΣΟΔΑ</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12 ΕΚΤΑΚΤΕΣ ΕΠΙΧΟΡΗΓΗΣΕΙΣ ΓΙΑ ΤΗΝ ΚΑΛΥΨΗ ΛΕΙΤΟΥΡΓΙΚΩΝ ΔΑΠΑΝΩΝ</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12</w:t>
      </w:r>
      <w:bookmarkStart w:id="0" w:name="OLE_LINK9"/>
      <w:bookmarkStart w:id="1" w:name="OLE_LINK6"/>
      <w:bookmarkStart w:id="2" w:name="OLE_LINK5"/>
      <w:r>
        <w:rPr>
          <w:rFonts w:eastAsia="Times New Roman" w:cs="Arial" w:ascii="Arial" w:hAnsi="Arial"/>
          <w:b/>
          <w:sz w:val="16"/>
          <w:szCs w:val="16"/>
          <w:lang w:eastAsia="el-GR"/>
        </w:rPr>
        <w:t xml:space="preserve">11 </w:t>
      </w:r>
      <w:bookmarkEnd w:id="0"/>
      <w:bookmarkEnd w:id="1"/>
      <w:bookmarkEnd w:id="2"/>
      <w:r>
        <w:rPr>
          <w:rFonts w:eastAsia="Times New Roman" w:cs="Arial" w:ascii="Arial" w:hAnsi="Arial"/>
          <w:b/>
          <w:sz w:val="16"/>
          <w:szCs w:val="16"/>
          <w:lang w:eastAsia="el-GR"/>
        </w:rPr>
        <w:t>Από εθνικούς πόρους (μέσω του τακτικού προϋπολογισμού) με ποσό 22.648,00</w:t>
      </w:r>
      <w:r>
        <w:rPr>
          <w:rFonts w:eastAsia="Times New Roman" w:cs="Arial" w:ascii="Arial" w:hAnsi="Arial"/>
          <w:b/>
          <w:i/>
          <w:color w:val="000000"/>
          <w:sz w:val="16"/>
          <w:szCs w:val="16"/>
          <w:lang w:eastAsia="el-GR"/>
        </w:rPr>
        <w:t>€</w:t>
      </w:r>
      <w:r>
        <w:rPr>
          <w:rFonts w:eastAsia="Times New Roman" w:cs="Arial" w:ascii="Arial" w:hAnsi="Arial"/>
          <w:b/>
          <w:sz w:val="16"/>
          <w:szCs w:val="16"/>
          <w:lang w:eastAsia="el-GR"/>
        </w:rPr>
        <w:t>.</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3 ΕΙΣΠΡΑΞΕΙΣ ΑΠΟ ΔΑΝΕΙΑ ΚΑΙ ΑΠΑΙΤΗΣΕΙΣ ΑΠΟ Π.Ο.Ε.</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32 ΕΙΣΠΡΑΚΤΕΑ ΥΠΟΛΟΙΠΑ ΑΠΟ ΒΕΒΑΙΩΘΕΝΤΑ ΕΣΟΔΑ ΚΑΤΑ ΤΑ ΠΑΡΕΛΘΟΝΤΑ ΕΤΗ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321 Εισπρακτέα υπόλοιπα από βεβαιωθέντα κατά τα παρελθόντα οικονομικά έτη τακτικά έσοδα. </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1.300,00€.</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4 ΕΙΣΠΡΑΞΕΙΣ ΥΠΕΡ ΤΟΥ ΔΗΜΟΣΙΟΥ ΚΑΙ ΤΡΙΤΩΝ ΚΑΙ ΕΠΙΣΤΡΟΦΕΣ ΧΡΗΜΑΤΩΝ</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41 ΕΙΣΠΡΑΞΕΙΣ ΥΠΕΡ ΤΟΥ ΔΗΜΟΣΙΟΥ ΚΑΙ ΤΡΙΤΩΝ</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411 Συνταξιοδοτικές Εισφορές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 xml:space="preserve">Στον προϋπολογισμό του Δημοτικού Αθλητικού Οργανισμού μας το ποσό ανέρχεται σε: 6.120,00€.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412 Φόροι και λοιπές επιβαρύνσεις.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6.855,00€.</w:t>
      </w:r>
    </w:p>
    <w:p>
      <w:pPr>
        <w:pStyle w:val="Normal"/>
        <w:spacing w:lineRule="auto" w:line="360" w:beforeAutospacing="1" w:afterAutospacing="1"/>
        <w:jc w:val="both"/>
        <w:rPr>
          <w:rFonts w:ascii="Arial" w:hAnsi="Arial" w:eastAsia="Times New Roman" w:cs="Arial"/>
          <w:i/>
          <w:i/>
          <w:sz w:val="16"/>
          <w:szCs w:val="16"/>
          <w:lang w:eastAsia="el-GR"/>
        </w:rPr>
      </w:pPr>
      <w:r>
        <w:rPr>
          <w:rFonts w:eastAsia="Times New Roman" w:cs="Arial" w:ascii="Arial" w:hAnsi="Arial"/>
          <w:i/>
          <w:sz w:val="16"/>
          <w:szCs w:val="16"/>
          <w:lang w:eastAsia="el-GR"/>
        </w:rPr>
        <w:t>*Ο Κ.Α 412 είναι ανταποδοτικός με τον Κ.Α 822 των εξόδων ώστε να διασφαλίζεται η απόδοση των κρατήσεων.</w:t>
      </w:r>
    </w:p>
    <w:p>
      <w:pPr>
        <w:pStyle w:val="Normal"/>
        <w:spacing w:lineRule="auto" w:line="360" w:beforeAutospacing="1" w:afterAutospacing="1"/>
        <w:jc w:val="both"/>
        <w:rPr>
          <w:rFonts w:ascii="Arial" w:hAnsi="Arial" w:eastAsia="Times New Roman" w:cs="Arial"/>
          <w:i/>
          <w:i/>
          <w:sz w:val="16"/>
          <w:szCs w:val="16"/>
          <w:lang w:eastAsia="el-GR"/>
        </w:rPr>
      </w:pPr>
      <w:r>
        <w:rPr>
          <w:rFonts w:eastAsia="Times New Roman" w:cs="Arial" w:ascii="Arial" w:hAnsi="Arial"/>
          <w:i/>
          <w:sz w:val="16"/>
          <w:szCs w:val="16"/>
          <w:lang w:eastAsia="el-GR"/>
        </w:rPr>
      </w:r>
    </w:p>
    <w:p>
      <w:pPr>
        <w:pStyle w:val="Normal"/>
        <w:spacing w:lineRule="auto" w:line="360" w:beforeAutospacing="1" w:afterAutospacing="1"/>
        <w:jc w:val="both"/>
        <w:rPr>
          <w:rFonts w:ascii="Arial" w:hAnsi="Arial" w:eastAsia="Times New Roman" w:cs="Arial"/>
          <w:i/>
          <w:i/>
          <w:sz w:val="16"/>
          <w:szCs w:val="16"/>
          <w:lang w:eastAsia="el-GR"/>
        </w:rPr>
      </w:pPr>
      <w:r>
        <w:rPr>
          <w:rFonts w:eastAsia="Times New Roman" w:cs="Arial" w:ascii="Arial" w:hAnsi="Arial"/>
          <w:i/>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5 ΧΡΗΜΑΤΙΚΟ ΥΠΟΛΟΙΠΟ</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51 ΧΡΗΜΑΤΙΚΟ ΥΠΟΛΟΙΠΟ ΠΡΟΗΓΟΥΜΕΝΗΣ ΧΡΗΣΗΣ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511 ΧΡΗΜΑΤΙΚΟ ΥΠΟΛΟΙΠΟ ΠΡΟΕΡΧΟΜΕΝΟ ΑΠΟ ΤΑΚΤΙΚΑ ΕΣΟΔΑ.</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5111 ΧΡΗΜΑΤΙΚΟ ΥΠΟΛΟΙΠΟ ΠΡΟΕΡΧΟΜΕΝΟ ΑΠΟ ΤΑΚΤΙΚΑ ΕΣΟΔΑ ΓΙΑ ΤΗΝ ΚΑΛΥΨΗ ΥΠΟΧΡΕΩΣΕΩΝ ΠΑΡΕΛΘΟΝΤΩΝ ΕΤΩΝ. </w:t>
      </w:r>
      <w:bookmarkStart w:id="3" w:name="OLE_LINK2"/>
      <w:bookmarkStart w:id="4" w:name="OLE_LINK1"/>
      <w:r>
        <w:rPr>
          <w:rFonts w:eastAsia="Times New Roman" w:cs="Arial" w:ascii="Arial" w:hAnsi="Arial"/>
          <w:b/>
          <w:sz w:val="16"/>
          <w:szCs w:val="16"/>
          <w:lang w:eastAsia="el-GR"/>
        </w:rPr>
        <w:t xml:space="preserve">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Στον προϋπολογισμό του </w:t>
      </w:r>
      <w:r>
        <w:rPr>
          <w:rFonts w:eastAsia="Times New Roman" w:cs="Arial" w:ascii="Arial" w:hAnsi="Arial"/>
          <w:b/>
          <w:i/>
          <w:color w:val="000000"/>
          <w:sz w:val="16"/>
          <w:szCs w:val="16"/>
          <w:lang w:eastAsia="el-GR"/>
        </w:rPr>
        <w:t xml:space="preserve">Δημοτικού Αθλητικού Οργανισμού μας </w:t>
      </w:r>
      <w:r>
        <w:rPr>
          <w:rFonts w:eastAsia="Times New Roman" w:cs="Arial" w:ascii="Arial" w:hAnsi="Arial"/>
          <w:b/>
          <w:sz w:val="16"/>
          <w:szCs w:val="16"/>
          <w:lang w:eastAsia="el-GR"/>
        </w:rPr>
        <w:t>το ποσό ανέρχεται σε: 3.990,71€.</w:t>
      </w:r>
    </w:p>
    <w:p>
      <w:pPr>
        <w:pStyle w:val="Normal"/>
        <w:spacing w:lineRule="auto" w:line="360" w:beforeAutospacing="1" w:afterAutospacing="1"/>
        <w:jc w:val="both"/>
        <w:rPr>
          <w:rFonts w:ascii="Arial" w:hAnsi="Arial" w:eastAsia="Times New Roman" w:cs="Arial"/>
          <w:b/>
          <w:b/>
          <w:sz w:val="16"/>
          <w:szCs w:val="16"/>
          <w:lang w:eastAsia="el-GR"/>
        </w:rPr>
      </w:pPr>
      <w:bookmarkEnd w:id="3"/>
      <w:bookmarkEnd w:id="4"/>
      <w:r>
        <w:rPr>
          <w:rFonts w:eastAsia="Times New Roman" w:cs="Arial" w:ascii="Arial" w:hAnsi="Arial"/>
          <w:b/>
          <w:sz w:val="16"/>
          <w:szCs w:val="16"/>
          <w:lang w:eastAsia="el-GR"/>
        </w:rPr>
        <w:t xml:space="preserve">5119 ΧΡΗΜΑΤΙΚΟ ΥΠΟΛΟΙΠΟ ΠΡΟΕΡΧΟΜΕΝΟ ΑΠΟ ΤΑΚΤΙΚΑ ΕΣΟΔΑ ΓΙΑ ΤΗΝ ΚΑΛΥΨΗ ΕΝ ΓΕΝΕΙ ΔΑΠΑΝΩΝ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 </w:t>
      </w:r>
      <w:r>
        <w:rPr>
          <w:rFonts w:eastAsia="Times New Roman" w:cs="Arial" w:ascii="Arial" w:hAnsi="Arial"/>
          <w:b/>
          <w:sz w:val="16"/>
          <w:szCs w:val="16"/>
          <w:lang w:eastAsia="el-GR"/>
        </w:rPr>
        <w:t xml:space="preserve">Στον προϋπολογισμό του </w:t>
      </w:r>
      <w:r>
        <w:rPr>
          <w:rFonts w:eastAsia="Times New Roman" w:cs="Arial" w:ascii="Arial" w:hAnsi="Arial"/>
          <w:b/>
          <w:i/>
          <w:color w:val="000000"/>
          <w:sz w:val="16"/>
          <w:szCs w:val="16"/>
          <w:lang w:eastAsia="el-GR"/>
        </w:rPr>
        <w:t xml:space="preserve">Δημοτικού Αθλητικού Οργανισμού μας </w:t>
      </w:r>
      <w:r>
        <w:rPr>
          <w:rFonts w:eastAsia="Times New Roman" w:cs="Arial" w:ascii="Arial" w:hAnsi="Arial"/>
          <w:b/>
          <w:sz w:val="16"/>
          <w:szCs w:val="16"/>
          <w:lang w:eastAsia="el-GR"/>
        </w:rPr>
        <w:t>το ποσό ανέρχεται σε: 19.412,43€.</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512 ΧΡΗΜΑΤΙΚΟ ΥΠΟΛΟΙΠΟ ΠΡΟΕΡΧΟΜΕΝΟ ΑΠΟ ΕΚΤΑΚΤΑ ΕΣΟΔΑ.</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5129 ΧΡΗΜΑΤΙΚΟ ΥΠΟΛΟΙΠΟ ΠΡΟΕΡΧΟΜΕΝΟ ΑΠΟ ΕΚΤΑΚΤΑ ΕΣΟΔΑ ΓΙΑ ΤΗΝ ΚΑΛΥΨΗ ΕΝ ΓΕΝΕΙ ΔΑΠΑΝΩΝ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Στον προϋπολογισμό του </w:t>
      </w:r>
      <w:r>
        <w:rPr>
          <w:rFonts w:eastAsia="Times New Roman" w:cs="Arial" w:ascii="Arial" w:hAnsi="Arial"/>
          <w:b/>
          <w:i/>
          <w:color w:val="000000"/>
          <w:sz w:val="16"/>
          <w:szCs w:val="16"/>
          <w:lang w:eastAsia="el-GR"/>
        </w:rPr>
        <w:t xml:space="preserve">Δημοτικού Αθλητικού Οργανισμού μας </w:t>
      </w:r>
      <w:r>
        <w:rPr>
          <w:rFonts w:eastAsia="Times New Roman" w:cs="Arial" w:ascii="Arial" w:hAnsi="Arial"/>
          <w:b/>
          <w:sz w:val="16"/>
          <w:szCs w:val="16"/>
          <w:lang w:eastAsia="el-GR"/>
        </w:rPr>
        <w:t>το ποσό ανέρχεται σε: 164,18€.</w:t>
      </w:r>
      <w:bookmarkStart w:id="5" w:name="OLE_LINK4"/>
      <w:bookmarkStart w:id="6" w:name="OLE_LINK3"/>
      <w:bookmarkEnd w:id="5"/>
      <w:bookmarkEnd w:id="6"/>
    </w:p>
    <w:p>
      <w:pPr>
        <w:pStyle w:val="Normal"/>
        <w:spacing w:lineRule="auto" w:line="360" w:beforeAutospacing="1" w:afterAutospacing="1"/>
        <w:jc w:val="both"/>
        <w:rPr>
          <w:rFonts w:ascii="Arial" w:hAnsi="Arial" w:eastAsia="Times New Roman" w:cs="Arial"/>
          <w:sz w:val="16"/>
          <w:szCs w:val="16"/>
          <w:highlight w:val="yellow"/>
          <w:lang w:eastAsia="el-GR"/>
        </w:rPr>
      </w:pPr>
      <w:r>
        <w:rPr>
          <w:rFonts w:eastAsia="Times New Roman" w:cs="Arial" w:ascii="Arial" w:hAnsi="Arial"/>
          <w:sz w:val="16"/>
          <w:szCs w:val="16"/>
          <w:highlight w:val="yellow"/>
          <w:lang w:eastAsia="el-GR"/>
        </w:rPr>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Το χρηματικό υπόλοιπο αποτελεί πρόβλεψη σύμφωνα με τα στοιχεία της Υπηρεσίας και ισούται με την διαφορά των εκτιμήσεων εισπραχθέντων 31.12.2022 μείον τις εκτιμήσεις πληρωθέντων 31.12.2022.</w:t>
      </w:r>
    </w:p>
    <w:p>
      <w:pPr>
        <w:pStyle w:val="Normal"/>
        <w:spacing w:lineRule="auto" w:line="360" w:beforeAutospacing="1" w:afterAutospacing="1"/>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t>ΠΑΡΑΡΤΗΜΑ 1</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Τα ποσά που εγγράφονται στον Π/Υ του 2023 για τα ίδια έσοδα των κάτωθι αναφερόμενων </w:t>
      </w:r>
      <w:r>
        <w:rPr>
          <w:rFonts w:eastAsia="Times New Roman" w:cs="Arial" w:ascii="Arial" w:hAnsi="Arial"/>
          <w:sz w:val="16"/>
          <w:szCs w:val="16"/>
          <w:u w:val="single"/>
          <w:lang w:eastAsia="el-GR"/>
        </w:rPr>
        <w:t>Ομάδων Ι. και ΙΙ.</w:t>
      </w:r>
      <w:r>
        <w:rPr>
          <w:rFonts w:eastAsia="Times New Roman" w:cs="Arial" w:ascii="Arial" w:hAnsi="Arial"/>
          <w:sz w:val="16"/>
          <w:szCs w:val="16"/>
          <w:lang w:eastAsia="el-GR"/>
        </w:rPr>
        <w:t xml:space="preserve"> υπολογίζονται διακριτά, με βάση τα αποτελέσματα εκτέλεσης των Π/Υ των δύο προηγούμενων οικονομικών ετών και ειδικότερα με βάση τα ποσά που εισπράχθηκαν κατά το έτος 2022 σε συνδυασμό με την απόδοση των εισπράξεων από τον Ιανουάριο 2022 και μέχρι το κλείσιμο του μηνός που προηγείται από το μήνα κατάρτισης του σχεδίου του Π/Υ 2023.</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Στον προϋπολογισμό του 2023 το ποσό της ΟΜΑΔΑΣ Ι ισούται με 5.000,00</w:t>
      </w:r>
      <w:r>
        <w:rPr>
          <w:rFonts w:eastAsia="Times New Roman" w:cs="Arial" w:ascii="Arial" w:hAnsi="Arial"/>
          <w:b/>
          <w:i/>
          <w:color w:val="000000"/>
          <w:sz w:val="16"/>
          <w:szCs w:val="16"/>
          <w:lang w:eastAsia="el-GR"/>
        </w:rPr>
        <w:t>€</w:t>
      </w:r>
      <w:r>
        <w:rPr>
          <w:rFonts w:eastAsia="Times New Roman" w:cs="Arial" w:ascii="Arial" w:hAnsi="Arial"/>
          <w:b/>
          <w:sz w:val="16"/>
          <w:szCs w:val="16"/>
          <w:lang w:eastAsia="el-GR"/>
        </w:rPr>
        <w:t xml:space="preserve"> .</w:t>
      </w:r>
    </w:p>
    <w:tbl>
      <w:tblPr>
        <w:tblW w:w="9401" w:type="dxa"/>
        <w:jc w:val="left"/>
        <w:tblInd w:w="93" w:type="dxa"/>
        <w:tblCellMar>
          <w:top w:w="0" w:type="dxa"/>
          <w:left w:w="108" w:type="dxa"/>
          <w:bottom w:w="0" w:type="dxa"/>
          <w:right w:w="108" w:type="dxa"/>
        </w:tblCellMar>
        <w:tblLook w:val="04a0"/>
      </w:tblPr>
      <w:tblGrid>
        <w:gridCol w:w="486"/>
        <w:gridCol w:w="4880"/>
        <w:gridCol w:w="1287"/>
        <w:gridCol w:w="1688"/>
        <w:gridCol w:w="1060"/>
      </w:tblGrid>
      <w:tr>
        <w:trPr>
          <w:trHeight w:val="300" w:hRule="atLeast"/>
        </w:trPr>
        <w:tc>
          <w:tcPr>
            <w:tcW w:w="9401" w:type="dxa"/>
            <w:gridSpan w:val="5"/>
            <w:tcBorders>
              <w:top w:val="single" w:sz="4" w:space="0" w:color="000000"/>
              <w:left w:val="single" w:sz="4" w:space="0" w:color="000000"/>
            </w:tcBorders>
            <w:shd w:color="000000" w:fill="BFBFBF" w:val="clear"/>
            <w:vAlign w:val="bottom"/>
          </w:tcPr>
          <w:p>
            <w:pPr>
              <w:pStyle w:val="Normal"/>
              <w:spacing w:lineRule="auto" w:line="240" w:before="0" w:after="0"/>
              <w:jc w:val="center"/>
              <w:rPr>
                <w:rFonts w:ascii="Arial" w:hAnsi="Arial" w:eastAsia="Times New Roman" w:cs="Arial"/>
                <w:b/>
                <w:b/>
                <w:bCs/>
                <w:color w:val="000000"/>
                <w:sz w:val="16"/>
                <w:szCs w:val="16"/>
                <w:lang w:eastAsia="el-GR"/>
              </w:rPr>
            </w:pPr>
            <w:r>
              <w:rPr>
                <w:rFonts w:eastAsia="Times New Roman" w:cs="Arial" w:ascii="Arial" w:hAnsi="Arial"/>
                <w:b/>
                <w:bCs/>
                <w:color w:val="000000"/>
                <w:sz w:val="16"/>
                <w:szCs w:val="16"/>
                <w:lang w:eastAsia="el-GR"/>
              </w:rPr>
              <w:t>ΟΜΑΔΑ ΕΣΟΔΩΝ Ι</w:t>
            </w:r>
          </w:p>
        </w:tc>
      </w:tr>
      <w:tr>
        <w:trPr>
          <w:trHeight w:val="300" w:hRule="atLeast"/>
        </w:trPr>
        <w:tc>
          <w:tcPr>
            <w:tcW w:w="486" w:type="dxa"/>
            <w:tcBorders>
              <w:left w:val="single" w:sz="4" w:space="0" w:color="000000"/>
            </w:tcBorders>
            <w:shd w:color="000000" w:fill="D8D8D8" w:val="clear"/>
            <w:vAlign w:val="center"/>
          </w:tcPr>
          <w:p>
            <w:pPr>
              <w:pStyle w:val="Normal"/>
              <w:spacing w:lineRule="auto" w:line="240" w:before="0" w:after="0"/>
              <w:jc w:val="center"/>
              <w:rPr>
                <w:rFonts w:ascii="Arial" w:hAnsi="Arial" w:eastAsia="Times New Roman" w:cs="Arial"/>
                <w:b/>
                <w:b/>
                <w:bCs/>
                <w:i/>
                <w:i/>
                <w:iCs/>
                <w:color w:val="000000"/>
                <w:sz w:val="16"/>
                <w:szCs w:val="16"/>
                <w:lang w:eastAsia="el-GR"/>
              </w:rPr>
            </w:pPr>
            <w:r>
              <w:rPr>
                <w:rFonts w:eastAsia="Times New Roman" w:cs="Arial" w:ascii="Arial" w:hAnsi="Arial"/>
                <w:b/>
                <w:bCs/>
                <w:i/>
                <w:iCs/>
                <w:color w:val="000000"/>
                <w:sz w:val="16"/>
                <w:szCs w:val="16"/>
                <w:lang w:eastAsia="el-GR"/>
              </w:rPr>
              <w:t xml:space="preserve">Κ.Α </w:t>
            </w:r>
          </w:p>
        </w:tc>
        <w:tc>
          <w:tcPr>
            <w:tcW w:w="4880" w:type="dxa"/>
            <w:tcBorders/>
            <w:shd w:color="000000" w:fill="D8D8D8" w:val="clear"/>
            <w:vAlign w:val="center"/>
          </w:tcPr>
          <w:p>
            <w:pPr>
              <w:pStyle w:val="Normal"/>
              <w:spacing w:lineRule="auto" w:line="240" w:before="0" w:after="0"/>
              <w:jc w:val="center"/>
              <w:rPr>
                <w:rFonts w:ascii="Arial" w:hAnsi="Arial" w:eastAsia="Times New Roman" w:cs="Arial"/>
                <w:b/>
                <w:b/>
                <w:bCs/>
                <w:i/>
                <w:i/>
                <w:iCs/>
                <w:color w:val="000000"/>
                <w:sz w:val="16"/>
                <w:szCs w:val="16"/>
                <w:lang w:eastAsia="el-GR"/>
              </w:rPr>
            </w:pPr>
            <w:r>
              <w:rPr>
                <w:rFonts w:eastAsia="Times New Roman" w:cs="Arial" w:ascii="Arial" w:hAnsi="Arial"/>
                <w:b/>
                <w:bCs/>
                <w:i/>
                <w:iCs/>
                <w:color w:val="000000"/>
                <w:sz w:val="16"/>
                <w:szCs w:val="16"/>
                <w:lang w:eastAsia="el-GR"/>
              </w:rPr>
              <w:t>ΤΙΤΛΟΣ</w:t>
            </w:r>
          </w:p>
        </w:tc>
        <w:tc>
          <w:tcPr>
            <w:tcW w:w="1287" w:type="dxa"/>
            <w:tcBorders/>
            <w:shd w:color="000000" w:fill="D8D8D8" w:val="clear"/>
            <w:vAlign w:val="center"/>
          </w:tcPr>
          <w:p>
            <w:pPr>
              <w:pStyle w:val="Normal"/>
              <w:spacing w:lineRule="auto" w:line="240" w:before="0" w:after="0"/>
              <w:jc w:val="center"/>
              <w:rPr>
                <w:rFonts w:ascii="Arial" w:hAnsi="Arial" w:eastAsia="Times New Roman" w:cs="Arial"/>
                <w:b/>
                <w:b/>
                <w:bCs/>
                <w:i/>
                <w:i/>
                <w:iCs/>
                <w:color w:val="000000"/>
                <w:sz w:val="16"/>
                <w:szCs w:val="16"/>
                <w:lang w:eastAsia="el-GR"/>
              </w:rPr>
            </w:pPr>
            <w:r>
              <w:rPr>
                <w:rFonts w:eastAsia="Times New Roman" w:cs="Arial" w:ascii="Arial" w:hAnsi="Arial"/>
                <w:b/>
                <w:bCs/>
                <w:i/>
                <w:iCs/>
                <w:color w:val="000000"/>
                <w:sz w:val="16"/>
                <w:szCs w:val="16"/>
                <w:lang w:eastAsia="el-GR"/>
              </w:rPr>
              <w:t>12μηνο 2021</w:t>
            </w:r>
          </w:p>
        </w:tc>
        <w:tc>
          <w:tcPr>
            <w:tcW w:w="1688" w:type="dxa"/>
            <w:tcBorders/>
            <w:shd w:color="000000" w:fill="D8D8D8" w:val="clear"/>
            <w:vAlign w:val="center"/>
          </w:tcPr>
          <w:p>
            <w:pPr>
              <w:pStyle w:val="Normal"/>
              <w:spacing w:lineRule="auto" w:line="240" w:before="0" w:after="0"/>
              <w:jc w:val="center"/>
              <w:rPr>
                <w:rFonts w:ascii="Arial" w:hAnsi="Arial" w:eastAsia="Times New Roman" w:cs="Arial"/>
                <w:b/>
                <w:b/>
                <w:bCs/>
                <w:i/>
                <w:i/>
                <w:iCs/>
                <w:color w:val="000000"/>
                <w:sz w:val="16"/>
                <w:szCs w:val="16"/>
                <w:lang w:eastAsia="el-GR"/>
              </w:rPr>
            </w:pPr>
            <w:r>
              <w:rPr>
                <w:rFonts w:eastAsia="Times New Roman" w:cs="Arial" w:ascii="Arial" w:hAnsi="Arial"/>
                <w:b/>
                <w:bCs/>
                <w:i/>
                <w:iCs/>
                <w:color w:val="000000"/>
                <w:sz w:val="16"/>
                <w:szCs w:val="16"/>
                <w:lang w:eastAsia="el-GR"/>
              </w:rPr>
              <w:t>12μηνο 2022</w:t>
            </w:r>
          </w:p>
        </w:tc>
        <w:tc>
          <w:tcPr>
            <w:tcW w:w="1060" w:type="dxa"/>
            <w:tcBorders>
              <w:right w:val="single" w:sz="4" w:space="0" w:color="000000"/>
            </w:tcBorders>
            <w:shd w:color="000000" w:fill="D8D8D8" w:val="clear"/>
            <w:vAlign w:val="center"/>
          </w:tcPr>
          <w:p>
            <w:pPr>
              <w:pStyle w:val="Normal"/>
              <w:spacing w:lineRule="auto" w:line="240" w:before="0" w:after="0"/>
              <w:jc w:val="center"/>
              <w:rPr>
                <w:rFonts w:ascii="Arial" w:hAnsi="Arial" w:eastAsia="Times New Roman" w:cs="Arial"/>
                <w:b/>
                <w:b/>
                <w:bCs/>
                <w:i/>
                <w:i/>
                <w:iCs/>
                <w:color w:val="000000"/>
                <w:sz w:val="16"/>
                <w:szCs w:val="16"/>
                <w:lang w:eastAsia="el-GR"/>
              </w:rPr>
            </w:pPr>
            <w:r>
              <w:rPr>
                <w:rFonts w:eastAsia="Times New Roman" w:cs="Arial" w:ascii="Arial" w:hAnsi="Arial"/>
                <w:b/>
                <w:bCs/>
                <w:i/>
                <w:iCs/>
                <w:color w:val="000000"/>
                <w:sz w:val="16"/>
                <w:szCs w:val="16"/>
                <w:lang w:eastAsia="el-GR"/>
              </w:rPr>
              <w:t>2023</w:t>
            </w:r>
          </w:p>
        </w:tc>
      </w:tr>
      <w:tr>
        <w:trPr>
          <w:trHeight w:val="555" w:hRule="atLeast"/>
        </w:trPr>
        <w:tc>
          <w:tcPr>
            <w:tcW w:w="48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01</w:t>
            </w:r>
          </w:p>
        </w:tc>
        <w:tc>
          <w:tcPr>
            <w:tcW w:w="4880" w:type="dxa"/>
            <w:tcBorders>
              <w:top w:val="single" w:sz="4" w:space="0" w:color="000000"/>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ΠΡΟΣΟΔΟΙ ΑΠΌ ΑΚΙΝΗΤΗ ΠΕΡΙΟΥΣΙΑ</w:t>
            </w:r>
          </w:p>
        </w:tc>
        <w:tc>
          <w:tcPr>
            <w:tcW w:w="12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1.000,00</w:t>
            </w:r>
          </w:p>
        </w:tc>
        <w:tc>
          <w:tcPr>
            <w:tcW w:w="1688"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1.400,00</w:t>
            </w:r>
          </w:p>
        </w:tc>
        <w:tc>
          <w:tcPr>
            <w:tcW w:w="1060"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5.000,00</w:t>
            </w:r>
          </w:p>
        </w:tc>
      </w:tr>
      <w:tr>
        <w:trPr>
          <w:trHeight w:val="48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02</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ΕΣΟΔΑ ΑΠΌ ΚΙΝΗΤΗ ΠΕΡΙΟΥΣΙΑ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0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03</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ΕΣΟΔΑ ΑΠΌ ΑΝΤΑΠΟΔΟΤΙΚΑ ΤΕΛΗ ΚΑΙ ΔΙΚΑΙΩΜΑΤΑ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0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04</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 xml:space="preserve">ΕΣΟΔΑ ΑΠΌ ΛΟΙΠΑ ΤΕΛΗ ΔΙΑΚΙΩΜΑΤΑ ΚΑΙ ΠΑΡΟΧΗ ΥΠΗΡΕΣΙΩΝ </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42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05</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ΦΟΡΟΙ ΚΑΙ ΕΙΣΦΟΡΕΣ</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42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07</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ΛΟΙΠΑ ΤΑΚΤΙΚΑ ΕΣΟΔΑ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0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11</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ΕΣΟΔΑ ΑΠΌ ΕΚΠΟΙΗΣΗ ΚΙΝΗΤΗΣ ΚΑΙ ΑΚΙΝΗΤΗΣ ΠΕΡΙΟΥΣΙΑΣ</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3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14</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ΔΩΡΕΕΣ-ΚΛΗΡΟΝΟΜΙΕΣ -ΚΛΗΡΟΔΟΣΙΕΣ</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39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15</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ΠΡΟΣΑΥΞΗΣΕΙΣ-ΠΡΟΣΤΙΜΑ-ΠΑΡΑΒΟΛΑ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36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16</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ΛΟΙΠΑ ΕΚΤΑΚΤΑ ΕΣΟΔΑ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00"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21</w:t>
            </w:r>
          </w:p>
        </w:tc>
        <w:tc>
          <w:tcPr>
            <w:tcW w:w="4880" w:type="dxa"/>
            <w:tcBorders>
              <w:bottom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ΕΣΟΔΑ ΠΟΥ ΒΕΒΑΙΩΝΟΝΤΑΙ ΓΙΑ ΠΡΩΤΗ ΦΟΡΑ -ΤΑΚΤΙΚΑ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615" w:hRule="atLeast"/>
        </w:trPr>
        <w:tc>
          <w:tcPr>
            <w:tcW w:w="486"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22</w:t>
            </w:r>
          </w:p>
        </w:tc>
        <w:tc>
          <w:tcPr>
            <w:tcW w:w="4880" w:type="dxa"/>
            <w:tcBorders/>
            <w:shd w:color="auto" w:fill="auto" w:val="clear"/>
            <w:vAlign w:val="bottom"/>
          </w:tcPr>
          <w:p>
            <w:pPr>
              <w:pStyle w:val="Normal"/>
              <w:spacing w:lineRule="auto" w:line="240" w:before="0" w:after="0"/>
              <w:jc w:val="center"/>
              <w:rPr>
                <w:rFonts w:ascii="Calibri" w:hAnsi="Calibri" w:eastAsia="Times New Roman" w:cs="Calibri"/>
                <w:b/>
                <w:b/>
                <w:bCs/>
                <w:color w:val="000000"/>
                <w:lang w:eastAsia="el-GR"/>
              </w:rPr>
            </w:pPr>
            <w:r>
              <w:rPr>
                <w:rFonts w:eastAsia="Times New Roman" w:cs="Calibri"/>
                <w:b/>
                <w:bCs/>
                <w:color w:val="000000"/>
                <w:lang w:eastAsia="el-GR"/>
              </w:rPr>
              <w:t>ΕΣΟΔΑ ΠΟΥ ΒΕΒΑΙΩΝΟΝΤΑΙ ΓΙΑ ΠΡΩΤΗ ΦΟΡΑ -ΕΚΤΑΚΤΑ</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color w:val="000000"/>
                <w:lang w:eastAsia="el-GR"/>
              </w:rPr>
            </w:pPr>
            <w:r>
              <w:rPr>
                <w:rFonts w:eastAsia="Times New Roman" w:cs="Calibri"/>
                <w:color w:val="000000"/>
                <w:lang w:eastAsia="el-GR"/>
              </w:rPr>
              <w:t>0,00</w:t>
            </w:r>
          </w:p>
        </w:tc>
      </w:tr>
      <w:tr>
        <w:trPr>
          <w:trHeight w:val="300" w:hRule="atLeast"/>
        </w:trPr>
        <w:tc>
          <w:tcPr>
            <w:tcW w:w="486" w:type="dxa"/>
            <w:tcBorders>
              <w:left w:val="single" w:sz="4" w:space="0" w:color="000000"/>
              <w:bottom w:val="single" w:sz="4" w:space="0" w:color="000000"/>
            </w:tcBorders>
            <w:shd w:color="auto" w:fill="auto" w:val="clear"/>
            <w:vAlign w:val="bottom"/>
          </w:tcPr>
          <w:p>
            <w:pPr>
              <w:pStyle w:val="Normal"/>
              <w:spacing w:lineRule="auto" w:line="240" w:before="0" w:after="0"/>
              <w:rPr>
                <w:rFonts w:ascii="Calibri" w:hAnsi="Calibri" w:eastAsia="Times New Roman" w:cs="Calibri"/>
                <w:color w:val="000000"/>
                <w:lang w:eastAsia="el-GR"/>
              </w:rPr>
            </w:pPr>
            <w:r>
              <w:rPr>
                <w:rFonts w:eastAsia="Times New Roman" w:cs="Calibri"/>
                <w:color w:val="000000"/>
                <w:lang w:eastAsia="el-GR"/>
              </w:rPr>
              <w:t> </w:t>
            </w:r>
          </w:p>
        </w:tc>
        <w:tc>
          <w:tcPr>
            <w:tcW w:w="4880" w:type="dxa"/>
            <w:tcBorders>
              <w:top w:val="single" w:sz="8" w:space="0" w:color="000000"/>
              <w:left w:val="single" w:sz="8" w:space="0" w:color="000000"/>
              <w:bottom w:val="single" w:sz="4" w:space="0" w:color="000000"/>
            </w:tcBorders>
            <w:shd w:color="auto" w:fill="auto" w:val="clear"/>
            <w:vAlign w:val="bottom"/>
          </w:tcPr>
          <w:p>
            <w:pPr>
              <w:pStyle w:val="Normal"/>
              <w:spacing w:lineRule="auto" w:line="240" w:before="0" w:after="0"/>
              <w:rPr>
                <w:rFonts w:ascii="Calibri" w:hAnsi="Calibri" w:eastAsia="Times New Roman" w:cs="Calibri"/>
                <w:b/>
                <w:b/>
                <w:bCs/>
                <w:i/>
                <w:i/>
                <w:iCs/>
                <w:color w:val="000000"/>
                <w:lang w:eastAsia="el-GR"/>
              </w:rPr>
            </w:pPr>
            <w:r>
              <w:rPr>
                <w:rFonts w:eastAsia="Times New Roman" w:cs="Calibri"/>
                <w:b/>
                <w:bCs/>
                <w:i/>
                <w:iCs/>
                <w:color w:val="000000"/>
                <w:lang w:eastAsia="el-GR"/>
              </w:rPr>
              <w:t>ΣΥΝΟΛΑ :</w:t>
            </w:r>
          </w:p>
        </w:tc>
        <w:tc>
          <w:tcPr>
            <w:tcW w:w="1287"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b/>
                <w:b/>
                <w:bCs/>
                <w:color w:val="000000"/>
                <w:lang w:eastAsia="el-GR"/>
              </w:rPr>
            </w:pPr>
            <w:r>
              <w:rPr>
                <w:rFonts w:eastAsia="Times New Roman" w:cs="Calibri"/>
                <w:b/>
                <w:bCs/>
                <w:color w:val="000000"/>
                <w:lang w:eastAsia="el-GR"/>
              </w:rPr>
              <w:t>1.000,00</w:t>
            </w:r>
          </w:p>
        </w:tc>
        <w:tc>
          <w:tcPr>
            <w:tcW w:w="1688"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b/>
                <w:b/>
                <w:bCs/>
                <w:color w:val="000000"/>
                <w:lang w:eastAsia="el-GR"/>
              </w:rPr>
            </w:pPr>
            <w:r>
              <w:rPr>
                <w:rFonts w:eastAsia="Times New Roman" w:cs="Calibri"/>
                <w:b/>
                <w:bCs/>
                <w:color w:val="000000"/>
                <w:lang w:eastAsia="el-GR"/>
              </w:rPr>
              <w:t>1.400,00</w:t>
            </w:r>
          </w:p>
        </w:tc>
        <w:tc>
          <w:tcPr>
            <w:tcW w:w="1060" w:type="dxa"/>
            <w:tcBorders>
              <w:bottom w:val="single" w:sz="4" w:space="0" w:color="000000"/>
              <w:right w:val="single" w:sz="4" w:space="0" w:color="000000"/>
            </w:tcBorders>
            <w:shd w:color="auto" w:fill="auto" w:val="clear"/>
            <w:vAlign w:val="bottom"/>
          </w:tcPr>
          <w:p>
            <w:pPr>
              <w:pStyle w:val="Normal"/>
              <w:spacing w:lineRule="auto" w:line="240" w:before="0" w:after="0"/>
              <w:jc w:val="right"/>
              <w:rPr>
                <w:rFonts w:ascii="Calibri" w:hAnsi="Calibri" w:eastAsia="Times New Roman" w:cs="Calibri"/>
                <w:b/>
                <w:b/>
                <w:bCs/>
                <w:color w:val="000000"/>
                <w:lang w:eastAsia="el-GR"/>
              </w:rPr>
            </w:pPr>
            <w:r>
              <w:rPr>
                <w:rFonts w:eastAsia="Times New Roman" w:cs="Calibri"/>
                <w:b/>
                <w:bCs/>
                <w:color w:val="000000"/>
                <w:lang w:eastAsia="el-GR"/>
              </w:rPr>
              <w:t>5.000,00</w:t>
            </w:r>
          </w:p>
        </w:tc>
      </w:tr>
    </w:tbl>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Μέρος ΙΙ – Έξοδα</w:t>
      </w:r>
    </w:p>
    <w:p>
      <w:pPr>
        <w:pStyle w:val="Normal"/>
        <w:numPr>
          <w:ilvl w:val="0"/>
          <w:numId w:val="2"/>
        </w:numPr>
        <w:spacing w:lineRule="auto" w:line="360" w:beforeAutospacing="1" w:afterAutospacing="1"/>
        <w:contextualSpacing/>
        <w:jc w:val="both"/>
        <w:rPr>
          <w:rFonts w:ascii="Arial" w:hAnsi="Arial" w:eastAsia="Times New Roman" w:cs="Arial"/>
          <w:sz w:val="16"/>
          <w:szCs w:val="16"/>
          <w:u w:val="single"/>
          <w:lang w:eastAsia="el-GR"/>
        </w:rPr>
      </w:pPr>
      <w:r>
        <w:rPr>
          <w:rFonts w:eastAsia="Times New Roman" w:cs="Arial" w:ascii="Arial" w:hAnsi="Arial"/>
          <w:sz w:val="16"/>
          <w:szCs w:val="16"/>
          <w:u w:val="single"/>
          <w:lang w:eastAsia="el-GR"/>
        </w:rPr>
        <w:t>Τα έξοδα του προϋπολογισμού διακρίνονται στις ακόλουθες ομάδες:</w:t>
      </w:r>
    </w:p>
    <w:p>
      <w:pPr>
        <w:pStyle w:val="Normal"/>
        <w:numPr>
          <w:ilvl w:val="0"/>
          <w:numId w:val="1"/>
        </w:numPr>
        <w:spacing w:lineRule="auto" w:line="360" w:beforeAutospacing="1"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Λειτουργικές δαπάνες χρήσης</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Επενδύσεις</w:t>
      </w:r>
    </w:p>
    <w:p>
      <w:pPr>
        <w:pStyle w:val="Normal"/>
        <w:numPr>
          <w:ilvl w:val="0"/>
          <w:numId w:val="1"/>
        </w:numPr>
        <w:spacing w:lineRule="auto" w:line="360" w:before="0" w:after="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Πληρωμές Π.Ο.Ε., λοιπές αποδόσεις και προβλέψεις</w:t>
      </w:r>
    </w:p>
    <w:p>
      <w:pPr>
        <w:pStyle w:val="Normal"/>
        <w:numPr>
          <w:ilvl w:val="0"/>
          <w:numId w:val="1"/>
        </w:numPr>
        <w:spacing w:lineRule="auto" w:line="360" w:before="0" w:afterAutospacing="1"/>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t>Αποθεματικό</w:t>
      </w:r>
    </w:p>
    <w:p>
      <w:pPr>
        <w:pStyle w:val="Normal"/>
        <w:spacing w:lineRule="auto" w:line="360" w:beforeAutospacing="1" w:afterAutospacing="1"/>
        <w:ind w:left="720" w:hanging="0"/>
        <w:contextualSpacing/>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Οι παραπάνω ομάδες εξόδων, στην υπ’ αριθμ. 7028/3-2-2004 κ.υ.α., αναφέρονται ως «Κεφάλαια». Έτσι, στο ΚΕΦΑΛΑΙΟ Α΄ περιλαμβάνονται οι λειτουργικές δαπάνες χρήσης, στο ΚΕΦΑΛΑΙΟ Β΄ οι επενδύσεις, στο ΚΕΦΑΛΑΙΟ Γ΄ οι πληρωμές παρελθόντων οικονομικών ετών, λοιπές αποδόσεις και προβλέψεις και στο ΚΕΦΑΛΑΙΟ Δ΄ το αποθεματικό.</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Όπως αναφέρθηκε, οι δαπάνες παρακολουθούνται τόσο κατά είδος όσο και κατά υπηρεσία. Για το λόγο αυτό, οι κωδικοί αριθμοί των Κεφαλαίων Α΄ (Λειτουργικές δαπάνες) και Β΄ (Επενδύσεις) επαναλαμβάνονται σε κάθε μία από τις Υπηρεσίες, οι οποίες κατονομάζονται στον προϋπολογισμό.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Διάκριση των Υπηρεσιών</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Οι Υπηρεσίες στις οποίες κατανέμονται οι δαπάνες του προϋπολογισμού</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χαρακτηρίζονται με ένα διψήφιο κωδικό αριθμό ως εξής: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00 ΓΕΝΙΚΕΣ ΥΠΗΡΕΣΙΕΣ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10 ΟΙΚΟΝΟΜΙΚΕΣ ΚΑΙ ΔΙΟΙΚΗΤΙΚΕΣ ΥΠΗΡΕΣΙΕΣ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15 ΥΠΗΡΕΣΙΕΣ ΠΟΛΙΤΙΣΜΟΥ, ΑΘΛΗΤΙΣΜΟΥ ΚΑΙ ΚΟΙΝΩΝΙΚΗΣ ΠΟΛΙΤΙΚΗΣ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20 ΥΠΗΡΕΣΙΕΣ ΚΑΘΑΡΙΟΤΗΤΑΣ ΚΑΙ ΗΛΕΚΤΡΟΦΩΤΙΣΜΟΥ</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25 ΥΠΗΡΕΣΙΕΣ ΥΔΡΕΥΣΗΣ, ΑΡΔΕΥΣΗΣ ΚΑΙ ΑΠΟΧΕΤΕΥΣΗΣ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30 ΥΠΗΡΕΣΙΑ ΤΕΧΝΙΚΩΝ ΕΡΓΩΝ</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35 ΥΠΗΡΕΣΙΕΣ ΠΡΑΣΙΝΟΥ</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40 ΥΠΗΡΕΣΙΑ ΠΟΛΕΟΔΟΜΙΑΣ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45 ΥΠΗΡΕΣΙΑ ΝΕΚΡΟΤΑΦΕΙΩΝ</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50 ΔΗΜΟΤΙΚΗ ΑΣΤΥΝΟΜΙΑ</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vertAlign w:val="superscript"/>
          <w:lang w:eastAsia="el-GR"/>
        </w:rPr>
        <w:t>*</w:t>
      </w:r>
      <w:r>
        <w:rPr>
          <w:rFonts w:eastAsia="Times New Roman" w:cs="Arial" w:ascii="Arial" w:hAnsi="Arial"/>
          <w:sz w:val="16"/>
          <w:szCs w:val="16"/>
          <w:lang w:eastAsia="el-GR"/>
        </w:rPr>
        <w:t>63 ΥΠΗΡΕΣΙΕΣ ΥΔΡΕΥΣΗΣ-ΑΠΟΧΕΤΕΥΣΗΣ-ΑΡΔΕΥΣΗΣ (Έργα &amp; δράσεις χρηματοδοτούμενες από ΠΔΕ)</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vertAlign w:val="superscript"/>
          <w:lang w:eastAsia="el-GR"/>
        </w:rPr>
        <w:t>*</w:t>
      </w:r>
      <w:r>
        <w:rPr>
          <w:rFonts w:eastAsia="Times New Roman" w:cs="Arial" w:ascii="Arial" w:hAnsi="Arial"/>
          <w:sz w:val="16"/>
          <w:szCs w:val="16"/>
          <w:lang w:eastAsia="el-GR"/>
        </w:rPr>
        <w:t>64 ΥΠΗΡΕΣΙΕΣ ΤΕΧΝΙΚΩΝ ΕΡΓΩΝ,ΠΡΑΣΙΝΟΥ ΚΑΙ ΠΟΛΕΟΔΟΜΙΑΣ (Έργα &amp; δράσεις  χρηματοδοτήσεις)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70 ΛΟΙΠΕΣ ΥΠΗΡΕΣΙΕΣ</w:t>
      </w:r>
      <w:bookmarkStart w:id="7" w:name="OLE_LINK8"/>
      <w:bookmarkStart w:id="8" w:name="OLE_LINK7"/>
      <w:bookmarkEnd w:id="7"/>
      <w:bookmarkEnd w:id="8"/>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Οι εγγραφές στους επιμέρους κωδικούς αριθμούς εξόδων γίνονται ως ακολούθως: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ΚΕΦΑΛΑΙΟ Α : ΛΕΙΤΟΥΡΓΙΚΕΣ ΔΑΠΑΝΕΣ ΧΡΗΣΗΣ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60. ΑΜΟΙΒΕΣ ΚΑΙ ΈΞΟΔΑ ΠΡΟΣΩΠΙΚΟΥ</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23.700,00€.</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Στους λογαριασμούς της κατηγορίας 60 εγγράφονται οι δαπάνες για κάθε είδους προσωπικό, πλην αυτού που απασχολείται με συμβάσεις έργου, οι οποίες καταχωρούνται στους κωδικούς της κατηγορίας 61.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61. ΑΜΟΙΒΕΣ ΑΙΡΕΤΏΝ ΚΑΙ ΤΡΊΤΩΝ    </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7.900,00 €.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Στους κωδικούς της κατηγορίας 61 εγγράφονται οι αμοιβές αιρετών και τρίτων οι οποίοι δεν συνδέονται με σχέση εξαρτημένης εργασίας, μεταξύ των οποίων και αμοιβές των απασχολουμένων με συμβάσεις έργου.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62. ΠΑΡΟΧΈΣ ΤΡΊΤΩΝ </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10.450,00 €</w:t>
      </w:r>
      <w:r>
        <w:rPr>
          <w:rFonts w:eastAsia="Times New Roman" w:cs="Arial" w:ascii="Arial" w:hAnsi="Arial"/>
          <w:b/>
          <w:sz w:val="16"/>
          <w:szCs w:val="16"/>
          <w:lang w:eastAsia="el-GR"/>
        </w:rPr>
        <w:t xml:space="preserve"> .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Στον λογαριασμό της κατηγορίας αυτής καταχωρούνται τα έξοδα για παροχές τρίτων όπως οργανισμών κοινής ωφέλειας, ενοίκια, ασφάλιστρα κ.λπ.</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65. ΠΛΗΡΩΜΈΣ ΓΙΑ ΤΗΝ ΕΞΥΠΗΡΈΤΗΣΗ ΔΗΜΌΣΙΑΣ ΠΊΣΤΗΣ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40,00 €.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66. ΔΑΠΆΝΕΣ ΠΡΟΜΉΘΕΙΑΣ ΑΝΑΛΩΣΊΜΩΝ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10.500,00€.</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Στους κωδικούς της κατηγορίας 66 εγγράφονται οι δαπάνες για την προμήθεια αναλωσίμων υλικών, ανταλλακτικών κ.λπ. Οι δήμοι μπορούν να παρακολουθούν τα υλικά αυτά και μέσω αποθήκης.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ΚΩΔΙΚΌΣ 68. ΛΟΙΠΑ ΓΕΝΙΚΑ ΕΞΟΔΑ</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4.000,00 €.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ΚΕΦΑΛΑΙΟ Β: ΕΠΕΝΔΥΣΕΙΣ</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Στους λογαριασμούς της ομάδας αυτής εγγράφεται το επενδυτικό πρόγραμμα του Αθλητικού Οργανισμού. Η ανάλυση των κωδικών για την εγγραφή εξειδικευμένων πιστώσεων γίνεται με τη χρήση της τελείας μετά τον τετραψήφιο κωδικό και την ανάπτυξη ενός διψήφιου ή τριψήφιου κωδικού για κάθε έργο.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sz w:val="16"/>
          <w:szCs w:val="16"/>
          <w:lang w:eastAsia="el-GR"/>
        </w:rPr>
        <w:t>Επίσης, οι δαπάνες των επενδύσεων κατανέμονται ανά υπηρεσία. Αναλυτικά:</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ΚΩΔΙΚΌΣ 71. ΑΓΟΡΈΣ ΚΤΙΡΊΩΝ, ΤΕΧΝΙΚΏΝ ΈΡΓΩΝ ΚΑΙ ΠΡΟΜΉΘΕΙΕΣ ΠΑΓΊΩΝ</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12.450,00 €</w:t>
      </w:r>
      <w:r>
        <w:rPr>
          <w:rFonts w:eastAsia="Times New Roman" w:cs="Arial" w:ascii="Arial" w:hAnsi="Arial"/>
          <w:b/>
          <w:sz w:val="16"/>
          <w:szCs w:val="16"/>
          <w:lang w:eastAsia="el-GR"/>
        </w:rPr>
        <w:t xml:space="preserve"> .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Στους Κ.Α. της υποκατηγορίας 71 εγγράφονται οι δαπάνες προμήθειας κινητών παγίων περιουσιακών στοιχείων (μηχανημάτων, μεταφορικών μέσων, επίπλων, κ.λπ.)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ΚΩΔΙΚΌΣ 73. ΕΡΓΑ</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1.705,00€</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ΚΕΦΑΛΑΙΟ Γ: ΠΛΗΡΩΜΕΣ Π.Ο.Ε., ΛΟΙΠΕΣ ΑΠΟΔΟΣΕΙΣ ΚΑΙ ΠΡΟΒΛΕΨΕΙΣ</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ΚΩΔΙΚΌΣ 81. ΠΛΗΡΩΜΈΣ ΠΟΥ ΑΦΟΡΟΎΝ ΥΠΟΧΡΕΏΣΕΙΣ ΑΠΌ ΠΑΡΕΛΘΌΝΤΑ ΟΙΚΟΝΟΜΙΚΆ ΕΤΗ</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Στον προϋπολογισμό του </w:t>
      </w:r>
      <w:r>
        <w:rPr>
          <w:rFonts w:eastAsia="Times New Roman" w:cs="Arial" w:ascii="Arial" w:hAnsi="Arial"/>
          <w:b/>
          <w:i/>
          <w:color w:val="000000"/>
          <w:sz w:val="16"/>
          <w:szCs w:val="16"/>
          <w:lang w:eastAsia="el-GR"/>
        </w:rPr>
        <w:t xml:space="preserve">Δημοτικού Αθλητικού Οργανισμού μας </w:t>
      </w:r>
      <w:r>
        <w:rPr>
          <w:rFonts w:eastAsia="Times New Roman" w:cs="Arial" w:ascii="Arial" w:hAnsi="Arial"/>
          <w:b/>
          <w:sz w:val="16"/>
          <w:szCs w:val="16"/>
          <w:lang w:eastAsia="el-GR"/>
        </w:rPr>
        <w:t xml:space="preserve">το ποσό ανέρχεται σε: 4.000,00 €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82  ΛΟΙΠΈΣ ΑΠΟΔΌΣΕΙΣ                                              </w:t>
      </w:r>
    </w:p>
    <w:p>
      <w:pPr>
        <w:pStyle w:val="Normal"/>
        <w:spacing w:lineRule="auto" w:line="360" w:beforeAutospacing="1" w:afterAutospacing="1"/>
        <w:jc w:val="both"/>
        <w:rPr>
          <w:rFonts w:ascii="Arial" w:hAnsi="Arial" w:eastAsia="Times New Roman" w:cs="Arial"/>
          <w:b/>
          <w:b/>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12.975,00€</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t xml:space="preserve">Η κατηγορία αυτή αφορά αποδόσεις σε τρίτους (δημόσιο, ασφαλιστικά ταμεία) των παρακρατηθέντων φόρων και εισφορών. Οι κωδικοί αυτοί στην ουσία δεν αποτελούν δαπάνες για τον δήμο αλλά είναι ποσά που εισπράττονται για λογαριασμό τρίτων και αποδίδονται σε αυτούς. </w:t>
      </w:r>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bookmarkStart w:id="9" w:name="_GoBack"/>
      <w:bookmarkStart w:id="10" w:name="_GoBack"/>
      <w:bookmarkEnd w:id="10"/>
    </w:p>
    <w:p>
      <w:pPr>
        <w:pStyle w:val="Normal"/>
        <w:spacing w:lineRule="auto" w:line="360" w:beforeAutospacing="1" w:afterAutospacing="1"/>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spacing w:lineRule="auto" w:line="360" w:beforeAutospacing="1" w:afterAutospacing="1"/>
        <w:rPr>
          <w:rFonts w:ascii="Arial" w:hAnsi="Arial" w:eastAsia="Times New Roman" w:cs="Arial"/>
          <w:b/>
          <w:b/>
          <w:sz w:val="16"/>
          <w:szCs w:val="16"/>
          <w:lang w:eastAsia="el-GR"/>
        </w:rPr>
      </w:pPr>
      <w:r>
        <w:rPr>
          <w:rFonts w:eastAsia="Times New Roman" w:cs="Arial" w:ascii="Arial" w:hAnsi="Arial"/>
          <w:b/>
          <w:sz w:val="16"/>
          <w:szCs w:val="16"/>
          <w:lang w:eastAsia="el-GR"/>
        </w:rPr>
        <w:t xml:space="preserve">ΚΩΔΙΚΌΣ 85. ΠΡΟΒΛΈΨΕΙΣ ΜΗ ΕΊΣΠΡΑΞΗΣ ΕΙΣΠΡΑΚΤΈΩΝ ΥΠΟΛΟΊΠΩΝ   ΒΕΒΑΙΩΘΈΝΤΩΝ ΚΑΤΆ ΤΑ ΠΑΡΕΛΘΌΝΤΑ ΟΙΚΟΝΟΜΙΚΆ ΈΤΗ  </w:t>
      </w:r>
    </w:p>
    <w:p>
      <w:pPr>
        <w:pStyle w:val="Normal"/>
        <w:spacing w:lineRule="auto" w:line="360" w:beforeAutospacing="1" w:afterAutospacing="1"/>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 xml:space="preserve"> </w:t>
      </w: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1.300,00 €</w:t>
      </w:r>
    </w:p>
    <w:p>
      <w:pPr>
        <w:pStyle w:val="Normal"/>
        <w:spacing w:lineRule="auto" w:line="360" w:beforeAutospacing="1" w:afterAutospacing="1"/>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sz w:val="16"/>
          <w:szCs w:val="16"/>
          <w:lang w:eastAsia="el-GR"/>
        </w:rPr>
        <w:t>ΚΕΦΑΛΑΙΟ Δ: ΑΠΟΘΕΜΑΤΙΚΟ</w:t>
      </w:r>
    </w:p>
    <w:p>
      <w:pPr>
        <w:pStyle w:val="Normal"/>
        <w:spacing w:lineRule="auto" w:line="360" w:beforeAutospacing="1" w:afterAutospacing="1"/>
        <w:jc w:val="both"/>
        <w:rPr>
          <w:rFonts w:ascii="Arial" w:hAnsi="Arial" w:eastAsia="Times New Roman" w:cs="Arial"/>
          <w:b/>
          <w:b/>
          <w:i/>
          <w:i/>
          <w:color w:val="000000"/>
          <w:sz w:val="16"/>
          <w:szCs w:val="16"/>
          <w:lang w:eastAsia="el-GR"/>
        </w:rPr>
      </w:pPr>
      <w:r>
        <w:rPr>
          <w:rFonts w:eastAsia="Times New Roman" w:cs="Arial" w:ascii="Arial" w:hAnsi="Arial"/>
          <w:b/>
          <w:i/>
          <w:color w:val="000000"/>
          <w:sz w:val="16"/>
          <w:szCs w:val="16"/>
          <w:lang w:eastAsia="el-GR"/>
        </w:rPr>
        <w:t>Στον προϋπολογισμό του Δημοτικού Αθλητικού Οργανισμού μας το ποσό ανέρχεται σε: 1.470,32€</w:t>
      </w:r>
    </w:p>
    <w:p>
      <w:pPr>
        <w:pStyle w:val="Normal"/>
        <w:jc w:val="both"/>
        <w:rPr>
          <w:rFonts w:ascii="Arial" w:hAnsi="Arial" w:eastAsia="Times New Roman" w:cs="Arial"/>
          <w:sz w:val="16"/>
          <w:szCs w:val="16"/>
          <w:lang w:eastAsia="el-GR"/>
        </w:rPr>
      </w:pPr>
      <w:r>
        <w:rPr>
          <w:rFonts w:eastAsia="Times New Roman" w:cs="Arial" w:ascii="Arial" w:hAnsi="Arial"/>
          <w:sz w:val="16"/>
          <w:szCs w:val="16"/>
          <w:lang w:eastAsia="el-GR"/>
        </w:rPr>
        <w:t>Η ομάδα εξόδων 9 αποτελείται από ένα μόνο κωδικό, με το ποσό που  προβλέπεται για την ενίσχυση πιστώσεων που αποδεικνύονται ανεπαρκείς ή και για την εγγραφή νέων πιστώσεων, που δεν είχαν προβλεφθεί κατά την κατάρτιση του προϋπολογισμού.</w:t>
      </w:r>
    </w:p>
    <w:p>
      <w:pPr>
        <w:pStyle w:val="Normal"/>
        <w:jc w:val="both"/>
        <w:rPr>
          <w:rFonts w:ascii="Arial" w:hAnsi="Arial" w:eastAsia="Times New Roman" w:cs="Arial"/>
          <w:sz w:val="16"/>
          <w:szCs w:val="16"/>
          <w:lang w:eastAsia="el-GR"/>
        </w:rPr>
      </w:pPr>
      <w:r>
        <w:rPr>
          <w:rFonts w:eastAsia="Times New Roman" w:cs="Arial" w:ascii="Arial" w:hAnsi="Arial"/>
          <w:sz w:val="16"/>
          <w:szCs w:val="16"/>
          <w:lang w:eastAsia="el-GR"/>
        </w:rPr>
        <w:t>Το ύψος του αποθεματικού που εγγράφεται στον κωδικό αυτόν, δεν μπορεί να  υπερβαίνει το ανώτατο όριο που προβλέπεται από το άρθρο 161 του ΚΔΚ (ποσοστό 5% των τακτικών εσόδων που εγγράφονται στον προϋπολογισμό).</w:t>
      </w:r>
    </w:p>
    <w:p>
      <w:pPr>
        <w:pStyle w:val="Normal"/>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jc w:val="both"/>
        <w:rPr>
          <w:rFonts w:ascii="Arial" w:hAnsi="Arial" w:eastAsia="Times New Roman" w:cs="Arial"/>
          <w:sz w:val="16"/>
          <w:szCs w:val="16"/>
          <w:lang w:eastAsia="el-GR"/>
        </w:rPr>
      </w:pPr>
      <w:r>
        <w:rPr>
          <w:rFonts w:eastAsia="Times New Roman" w:cs="Arial" w:ascii="Arial" w:hAnsi="Arial"/>
          <w:sz w:val="16"/>
          <w:szCs w:val="16"/>
          <w:lang w:eastAsia="el-GR"/>
        </w:rPr>
      </w:r>
    </w:p>
    <w:p>
      <w:pPr>
        <w:pStyle w:val="Normal"/>
        <w:jc w:val="center"/>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t>Για το Δημοτικό Αθλητικό Οργανισμό</w:t>
      </w:r>
    </w:p>
    <w:p>
      <w:pPr>
        <w:pStyle w:val="Normal"/>
        <w:jc w:val="center"/>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t>Ο Δ/ντής Διοικητικών&amp;Οικονομικών Υπηρεσιών Δήμου Αίγινας</w:t>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u w:val="single"/>
          <w:lang w:eastAsia="el-GR"/>
        </w:rPr>
      </w:pPr>
      <w:r>
        <w:rPr>
          <w:rFonts w:eastAsia="Times New Roman" w:cs="Arial" w:ascii="Arial" w:hAnsi="Arial"/>
          <w:b/>
          <w:sz w:val="16"/>
          <w:szCs w:val="16"/>
          <w:u w:val="single"/>
          <w:lang w:eastAsia="el-GR"/>
        </w:rPr>
      </w:r>
    </w:p>
    <w:p>
      <w:pPr>
        <w:pStyle w:val="Normal"/>
        <w:jc w:val="both"/>
        <w:rPr>
          <w:rFonts w:ascii="Arial" w:hAnsi="Arial" w:eastAsia="Times New Roman" w:cs="Arial"/>
          <w:b/>
          <w:b/>
          <w:sz w:val="16"/>
          <w:szCs w:val="16"/>
          <w:lang w:eastAsia="el-GR"/>
        </w:rPr>
      </w:pPr>
      <w:r>
        <w:rPr>
          <w:rFonts w:eastAsia="Times New Roman" w:cs="Arial" w:ascii="Arial" w:hAnsi="Arial"/>
          <w:b/>
          <w:sz w:val="16"/>
          <w:szCs w:val="16"/>
          <w:lang w:eastAsia="el-GR"/>
        </w:rPr>
      </w:r>
      <w:r>
        <w:br w:type="page"/>
      </w:r>
    </w:p>
    <w:p>
      <w:pPr>
        <w:pStyle w:val="Normal"/>
        <w:spacing w:before="0" w:after="200"/>
        <w:jc w:val="center"/>
        <w:rPr>
          <w:rFonts w:ascii="Arial" w:hAnsi="Arial" w:eastAsia="Times New Roman" w:cs="Arial"/>
          <w:b/>
          <w:b/>
          <w:sz w:val="16"/>
          <w:szCs w:val="16"/>
          <w:lang w:eastAsia="el-GR"/>
        </w:rPr>
      </w:pPr>
      <w:r>
        <w:rPr/>
      </w:r>
    </w:p>
    <w:sectPr>
      <w:footerReference w:type="default" r:id="rId2"/>
      <w:type w:val="nextPage"/>
      <w:pgSz w:w="11906" w:h="16838"/>
      <w:pgMar w:left="1800" w:right="180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10</w:t>
    </w:r>
    <w:r>
      <w:rPr/>
      <w:fldChar w:fldCharType="end"/>
    </w:r>
  </w:p>
  <w:p>
    <w:pPr>
      <w:pStyle w:val="Style22"/>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30a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name w:val="Αγκίστρωση υποσημείωσης"/>
    <w:rPr>
      <w:vertAlign w:val="superscript"/>
    </w:rPr>
  </w:style>
  <w:style w:type="character" w:styleId="FootnoteCharacters">
    <w:name w:val="Footnote Characters"/>
    <w:uiPriority w:val="99"/>
    <w:semiHidden/>
    <w:unhideWhenUsed/>
    <w:qFormat/>
    <w:rsid w:val="00851c6c"/>
    <w:rPr>
      <w:vertAlign w:val="superscript"/>
    </w:rPr>
  </w:style>
  <w:style w:type="character" w:styleId="Char" w:customStyle="1">
    <w:name w:val="Κεφαλίδα Char"/>
    <w:basedOn w:val="DefaultParagraphFont"/>
    <w:link w:val="a5"/>
    <w:uiPriority w:val="99"/>
    <w:qFormat/>
    <w:rsid w:val="00851c6c"/>
    <w:rPr>
      <w:rFonts w:ascii="Calibri" w:hAnsi="Calibri" w:eastAsia="Calibri" w:cs="Times New Roman"/>
    </w:rPr>
  </w:style>
  <w:style w:type="character" w:styleId="Char1" w:customStyle="1">
    <w:name w:val="Υποσέλιδο Char"/>
    <w:basedOn w:val="DefaultParagraphFont"/>
    <w:link w:val="a6"/>
    <w:uiPriority w:val="99"/>
    <w:qFormat/>
    <w:rsid w:val="00851c6c"/>
    <w:rPr>
      <w:rFonts w:ascii="Calibri" w:hAnsi="Calibri" w:eastAsia="Calibri" w:cs="Times New Roman"/>
    </w:rPr>
  </w:style>
  <w:style w:type="character" w:styleId="Char2" w:customStyle="1">
    <w:name w:val="Κείμενο πλαισίου Char"/>
    <w:basedOn w:val="DefaultParagraphFont"/>
    <w:link w:val="a7"/>
    <w:uiPriority w:val="99"/>
    <w:semiHidden/>
    <w:qFormat/>
    <w:rsid w:val="00851c6c"/>
    <w:rPr>
      <w:rFonts w:ascii="Tahoma" w:hAnsi="Tahoma" w:eastAsia="Calibri" w:cs="Tahoma"/>
      <w:sz w:val="16"/>
      <w:szCs w:val="16"/>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paragraph" w:styleId="ListParagraph">
    <w:name w:val="List Paragraph"/>
    <w:basedOn w:val="Normal"/>
    <w:uiPriority w:val="34"/>
    <w:qFormat/>
    <w:rsid w:val="00851c6c"/>
    <w:pPr>
      <w:spacing w:before="0" w:after="200"/>
      <w:ind w:left="720" w:hanging="0"/>
      <w:contextualSpacing/>
    </w:pPr>
    <w:rPr>
      <w:rFonts w:ascii="Calibri" w:hAnsi="Calibri" w:eastAsia="Calibri" w:cs="Times New Roman"/>
    </w:rPr>
  </w:style>
  <w:style w:type="paragraph" w:styleId="Style20">
    <w:name w:val="Κεφαλίδα και υποσέλιδο"/>
    <w:basedOn w:val="Normal"/>
    <w:qFormat/>
    <w:pPr/>
    <w:rPr/>
  </w:style>
  <w:style w:type="paragraph" w:styleId="Style21">
    <w:name w:val="Header"/>
    <w:basedOn w:val="Normal"/>
    <w:link w:val="Char"/>
    <w:uiPriority w:val="99"/>
    <w:unhideWhenUsed/>
    <w:rsid w:val="00851c6c"/>
    <w:pPr>
      <w:tabs>
        <w:tab w:val="clear" w:pos="720"/>
        <w:tab w:val="center" w:pos="4153" w:leader="none"/>
        <w:tab w:val="right" w:pos="8306" w:leader="none"/>
      </w:tabs>
    </w:pPr>
    <w:rPr>
      <w:rFonts w:ascii="Calibri" w:hAnsi="Calibri" w:eastAsia="Calibri" w:cs="Times New Roman"/>
    </w:rPr>
  </w:style>
  <w:style w:type="paragraph" w:styleId="Style22">
    <w:name w:val="Footer"/>
    <w:basedOn w:val="Normal"/>
    <w:link w:val="Char0"/>
    <w:uiPriority w:val="99"/>
    <w:unhideWhenUsed/>
    <w:rsid w:val="00851c6c"/>
    <w:pPr>
      <w:tabs>
        <w:tab w:val="clear" w:pos="720"/>
        <w:tab w:val="center" w:pos="4153" w:leader="none"/>
        <w:tab w:val="right" w:pos="8306" w:leader="none"/>
      </w:tabs>
    </w:pPr>
    <w:rPr>
      <w:rFonts w:ascii="Calibri" w:hAnsi="Calibri" w:eastAsia="Calibri" w:cs="Times New Roman"/>
    </w:rPr>
  </w:style>
  <w:style w:type="paragraph" w:styleId="BalloonText">
    <w:name w:val="Balloon Text"/>
    <w:basedOn w:val="Normal"/>
    <w:link w:val="Char1"/>
    <w:uiPriority w:val="99"/>
    <w:semiHidden/>
    <w:unhideWhenUsed/>
    <w:qFormat/>
    <w:rsid w:val="00851c6c"/>
    <w:pPr>
      <w:spacing w:lineRule="auto" w:line="240" w:before="0" w:after="0"/>
    </w:pPr>
    <w:rPr>
      <w:rFonts w:ascii="Tahoma" w:hAnsi="Tahoma" w:eastAsia="Calibri" w:cs="Tahoma"/>
      <w:sz w:val="16"/>
      <w:szCs w:val="16"/>
    </w:rPr>
  </w:style>
  <w:style w:type="numbering" w:styleId="NoList" w:default="1">
    <w:name w:val="No List"/>
    <w:uiPriority w:val="99"/>
    <w:semiHidden/>
    <w:unhideWhenUsed/>
    <w:qFormat/>
  </w:style>
  <w:style w:type="numbering" w:styleId="1" w:customStyle="1">
    <w:name w:val="Χωρίς λίστα1"/>
    <w:uiPriority w:val="99"/>
    <w:semiHidden/>
    <w:unhideWhenUsed/>
    <w:qFormat/>
    <w:rsid w:val="00851c6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A7368-D784-4B28-AE0A-AE001117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Application>LibreOffice/6.4.4.2$Windows_X86_64 LibreOffice_project/3d775be2011f3886db32dfd395a6a6d1ca2630ff</Application>
  <Pages>10</Pages>
  <Words>1588</Words>
  <Characters>9620</Characters>
  <CharactersWithSpaces>11221</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2022-12-15T10:52:00Z</dcterms:created>
  <dc:creator>ELENI LIAKOU</dc:creator>
  <dc:description/>
  <dc:language>el-GR</dc:language>
  <cp:lastModifiedBy/>
  <cp:lastPrinted>2019-12-16T16:23:00Z</cp:lastPrinted>
  <dcterms:modified xsi:type="dcterms:W3CDTF">2023-08-07T13:46:06Z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